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D09645" w14:textId="1CDE26C7" w:rsidR="008E4EFE" w:rsidRDefault="00705957" w:rsidP="00705957">
      <w:pPr>
        <w:pStyle w:val="Heading1"/>
      </w:pPr>
      <w:bookmarkStart w:id="0" w:name="_GoBack"/>
      <w:bookmarkEnd w:id="0"/>
      <w:r w:rsidRPr="005F50E2">
        <w:t xml:space="preserve">Regime-Dependent </w:t>
      </w:r>
    </w:p>
    <w:p w14:paraId="7AB60FB7" w14:textId="0F21C011" w:rsidR="00705957" w:rsidRPr="00EF09C9" w:rsidRDefault="00705957" w:rsidP="00705957">
      <w:pPr>
        <w:pStyle w:val="Heading1"/>
      </w:pPr>
      <w:r w:rsidRPr="005F50E2">
        <w:t xml:space="preserve"> Short-Range Solar Irradiance Forecasting</w:t>
      </w:r>
    </w:p>
    <w:p w14:paraId="3585DA70" w14:textId="1212ED02" w:rsidR="00705957" w:rsidRPr="008D400A" w:rsidRDefault="00705957" w:rsidP="00705957">
      <w:pPr>
        <w:ind w:firstLine="0"/>
        <w:jc w:val="both"/>
        <w:rPr>
          <w:sz w:val="24"/>
          <w:vertAlign w:val="superscript"/>
        </w:rPr>
      </w:pPr>
      <w:r w:rsidRPr="008D400A">
        <w:rPr>
          <w:sz w:val="24"/>
        </w:rPr>
        <w:t>T.C. McCandless</w:t>
      </w:r>
      <w:r w:rsidR="003F1EFA">
        <w:rPr>
          <w:noProof/>
          <w:position w:val="-4"/>
          <w:sz w:val="24"/>
          <w:vertAlign w:val="subscript"/>
        </w:rPr>
        <w:drawing>
          <wp:inline distT="0" distB="0" distL="0" distR="0" wp14:anchorId="33D9AB6A" wp14:editId="56C3013A">
            <wp:extent cx="167640" cy="198120"/>
            <wp:effectExtent l="0" t="0" r="381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640" cy="198120"/>
                    </a:xfrm>
                    <a:prstGeom prst="rect">
                      <a:avLst/>
                    </a:prstGeom>
                    <a:noFill/>
                    <a:ln>
                      <a:noFill/>
                    </a:ln>
                  </pic:spPr>
                </pic:pic>
              </a:graphicData>
            </a:graphic>
          </wp:inline>
        </w:drawing>
      </w:r>
      <w:r w:rsidRPr="008D400A">
        <w:rPr>
          <w:sz w:val="24"/>
        </w:rPr>
        <w:t>, G.S. Young</w:t>
      </w:r>
      <w:r w:rsidR="003F1EFA">
        <w:rPr>
          <w:noProof/>
          <w:position w:val="-4"/>
          <w:sz w:val="24"/>
          <w:vertAlign w:val="subscript"/>
        </w:rPr>
        <w:drawing>
          <wp:inline distT="0" distB="0" distL="0" distR="0" wp14:anchorId="3359FC61" wp14:editId="1E129DF2">
            <wp:extent cx="83820" cy="198120"/>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521287" w:rsidRPr="008D400A">
        <w:rPr>
          <w:sz w:val="24"/>
        </w:rPr>
        <w:t>,</w:t>
      </w:r>
      <w:r w:rsidRPr="008D400A">
        <w:rPr>
          <w:sz w:val="24"/>
          <w:vertAlign w:val="subscript"/>
        </w:rPr>
        <w:t xml:space="preserve"> </w:t>
      </w:r>
      <w:r w:rsidRPr="008D400A">
        <w:rPr>
          <w:sz w:val="24"/>
        </w:rPr>
        <w:t>S.E Haupt</w:t>
      </w:r>
      <w:r w:rsidR="003F1EFA">
        <w:rPr>
          <w:noProof/>
          <w:position w:val="-4"/>
          <w:sz w:val="24"/>
          <w:vertAlign w:val="subscript"/>
        </w:rPr>
        <w:drawing>
          <wp:inline distT="0" distB="0" distL="0" distR="0" wp14:anchorId="37B51F4E" wp14:editId="5DF578FB">
            <wp:extent cx="167640" cy="19812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640" cy="198120"/>
                    </a:xfrm>
                    <a:prstGeom prst="rect">
                      <a:avLst/>
                    </a:prstGeom>
                    <a:noFill/>
                    <a:ln>
                      <a:noFill/>
                    </a:ln>
                  </pic:spPr>
                </pic:pic>
              </a:graphicData>
            </a:graphic>
          </wp:inline>
        </w:drawing>
      </w:r>
      <w:r w:rsidRPr="008D400A">
        <w:rPr>
          <w:sz w:val="24"/>
        </w:rPr>
        <w:t>, and</w:t>
      </w:r>
      <w:r w:rsidR="00521287" w:rsidRPr="008D400A">
        <w:rPr>
          <w:sz w:val="24"/>
        </w:rPr>
        <w:t xml:space="preserve"> L.M. </w:t>
      </w:r>
      <w:proofErr w:type="spellStart"/>
      <w:r w:rsidR="00521287" w:rsidRPr="008D400A">
        <w:rPr>
          <w:sz w:val="24"/>
        </w:rPr>
        <w:t>Hinkelman</w:t>
      </w:r>
      <w:r w:rsidR="00521287" w:rsidRPr="008D400A">
        <w:rPr>
          <w:sz w:val="24"/>
          <w:vertAlign w:val="superscript"/>
        </w:rPr>
        <w:t>c</w:t>
      </w:r>
      <w:proofErr w:type="spellEnd"/>
    </w:p>
    <w:p w14:paraId="6B19D75F" w14:textId="65876091" w:rsidR="00705957" w:rsidRPr="008D400A" w:rsidRDefault="003F1EFA" w:rsidP="00705957">
      <w:pPr>
        <w:ind w:firstLine="0"/>
        <w:jc w:val="both"/>
        <w:rPr>
          <w:sz w:val="24"/>
        </w:rPr>
      </w:pPr>
      <w:r>
        <w:rPr>
          <w:noProof/>
          <w:position w:val="-4"/>
          <w:sz w:val="24"/>
          <w:vertAlign w:val="subscript"/>
        </w:rPr>
        <w:drawing>
          <wp:inline distT="0" distB="0" distL="0" distR="0" wp14:anchorId="1E33F05A" wp14:editId="61F7410C">
            <wp:extent cx="83820" cy="1981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705957" w:rsidRPr="008D400A">
        <w:rPr>
          <w:sz w:val="24"/>
        </w:rPr>
        <w:t>National Center for Atmospheric Research,</w:t>
      </w:r>
      <w:r w:rsidR="00705957" w:rsidRPr="008D400A">
        <w:rPr>
          <w:rFonts w:ascii="Lucida Grande" w:hAnsi="Lucida Grande" w:cs="Lucida Grande"/>
          <w:color w:val="262626"/>
          <w:sz w:val="24"/>
        </w:rPr>
        <w:t xml:space="preserve"> </w:t>
      </w:r>
      <w:r w:rsidR="00705957" w:rsidRPr="008D400A">
        <w:rPr>
          <w:sz w:val="24"/>
        </w:rPr>
        <w:t xml:space="preserve">3450 Mitchell Lane, Boulder, CO 80301; </w:t>
      </w:r>
      <w:hyperlink r:id="rId11" w:history="1">
        <w:r w:rsidR="00705957" w:rsidRPr="008D400A">
          <w:rPr>
            <w:rStyle w:val="Hyperlink"/>
            <w:sz w:val="24"/>
          </w:rPr>
          <w:t>mccandle@ucar.edu</w:t>
        </w:r>
      </w:hyperlink>
      <w:r w:rsidR="00705957" w:rsidRPr="008D400A">
        <w:rPr>
          <w:sz w:val="24"/>
        </w:rPr>
        <w:t xml:space="preserve">, </w:t>
      </w:r>
      <w:hyperlink r:id="rId12" w:history="1">
        <w:r w:rsidR="00705957" w:rsidRPr="008D400A">
          <w:rPr>
            <w:rStyle w:val="Hyperlink"/>
            <w:sz w:val="24"/>
          </w:rPr>
          <w:t>haupt@ucar.edu</w:t>
        </w:r>
      </w:hyperlink>
      <w:r w:rsidR="00705957" w:rsidRPr="008D400A">
        <w:rPr>
          <w:sz w:val="24"/>
        </w:rPr>
        <w:t xml:space="preserve">, </w:t>
      </w:r>
    </w:p>
    <w:p w14:paraId="59684BCD" w14:textId="5C8DC908" w:rsidR="00705957" w:rsidRPr="008D400A" w:rsidRDefault="003F1EFA" w:rsidP="00705957">
      <w:pPr>
        <w:ind w:firstLine="0"/>
        <w:jc w:val="both"/>
        <w:rPr>
          <w:sz w:val="24"/>
        </w:rPr>
      </w:pPr>
      <w:r>
        <w:rPr>
          <w:noProof/>
          <w:position w:val="-4"/>
          <w:sz w:val="24"/>
          <w:vertAlign w:val="subscript"/>
        </w:rPr>
        <w:drawing>
          <wp:inline distT="0" distB="0" distL="0" distR="0" wp14:anchorId="499881BD" wp14:editId="4B677F5C">
            <wp:extent cx="83820" cy="1981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705957" w:rsidRPr="008D400A">
        <w:rPr>
          <w:sz w:val="24"/>
        </w:rPr>
        <w:t xml:space="preserve">The Pennsylvania State University, Department of Meteorology, 503 Walker Building, University Park, PA 16802-5013; </w:t>
      </w:r>
      <w:hyperlink r:id="rId14" w:history="1">
        <w:r w:rsidR="00705957" w:rsidRPr="008D400A">
          <w:rPr>
            <w:rStyle w:val="Hyperlink"/>
            <w:sz w:val="24"/>
          </w:rPr>
          <w:t>g3y@psu.edu</w:t>
        </w:r>
      </w:hyperlink>
      <w:r w:rsidR="00705957" w:rsidRPr="008D400A">
        <w:rPr>
          <w:sz w:val="24"/>
        </w:rPr>
        <w:t xml:space="preserve"> </w:t>
      </w:r>
    </w:p>
    <w:p w14:paraId="12A90978" w14:textId="44668B48" w:rsidR="00E36CDF" w:rsidRPr="00E36CDF" w:rsidRDefault="00521287" w:rsidP="00E36CDF">
      <w:pPr>
        <w:ind w:firstLine="0"/>
      </w:pPr>
      <w:proofErr w:type="gramStart"/>
      <w:r w:rsidRPr="008D400A">
        <w:rPr>
          <w:sz w:val="24"/>
          <w:vertAlign w:val="superscript"/>
        </w:rPr>
        <w:t>c</w:t>
      </w:r>
      <w:proofErr w:type="gramEnd"/>
      <w:r w:rsidRPr="008D400A">
        <w:rPr>
          <w:sz w:val="24"/>
          <w:vertAlign w:val="superscript"/>
        </w:rPr>
        <w:t xml:space="preserve"> </w:t>
      </w:r>
      <w:r w:rsidRPr="008D400A">
        <w:rPr>
          <w:sz w:val="24"/>
        </w:rPr>
        <w:t>University of Washington, 145 Wallace Hall, 3737 Brooklyn Ave NE, Seattle WA 98105;</w:t>
      </w:r>
      <w:r w:rsidR="00E36CDF" w:rsidRPr="008D400A">
        <w:rPr>
          <w:sz w:val="24"/>
        </w:rPr>
        <w:t xml:space="preserve"> </w:t>
      </w:r>
      <w:hyperlink r:id="rId15" w:history="1">
        <w:r w:rsidR="00E36CDF" w:rsidRPr="008D400A">
          <w:rPr>
            <w:rStyle w:val="Hyperlink"/>
            <w:sz w:val="24"/>
          </w:rPr>
          <w:t>laurahin@u.washington.edu</w:t>
        </w:r>
      </w:hyperlink>
      <w:r w:rsidR="00E36CDF">
        <w:t xml:space="preserve"> </w:t>
      </w:r>
    </w:p>
    <w:p w14:paraId="3E643E00" w14:textId="649D176C" w:rsidR="00521287" w:rsidRDefault="00521287" w:rsidP="00705957">
      <w:pPr>
        <w:ind w:firstLine="0"/>
        <w:jc w:val="both"/>
      </w:pPr>
    </w:p>
    <w:p w14:paraId="1130CDB8" w14:textId="77777777" w:rsidR="00705957" w:rsidRDefault="00705957" w:rsidP="00705957">
      <w:pPr>
        <w:jc w:val="both"/>
      </w:pPr>
    </w:p>
    <w:p w14:paraId="1850C1F2" w14:textId="77777777" w:rsidR="00705957" w:rsidRPr="008D400A" w:rsidRDefault="00705957" w:rsidP="00705957">
      <w:pPr>
        <w:ind w:firstLine="0"/>
        <w:jc w:val="both"/>
        <w:rPr>
          <w:b/>
          <w:sz w:val="24"/>
        </w:rPr>
      </w:pPr>
      <w:r w:rsidRPr="008D400A">
        <w:rPr>
          <w:b/>
          <w:sz w:val="24"/>
        </w:rPr>
        <w:t>Corresponding Author:</w:t>
      </w:r>
    </w:p>
    <w:p w14:paraId="6D2D19EF" w14:textId="77777777" w:rsidR="00705957" w:rsidRPr="008D400A" w:rsidRDefault="00705957" w:rsidP="00705957">
      <w:pPr>
        <w:ind w:firstLine="0"/>
        <w:jc w:val="both"/>
        <w:rPr>
          <w:sz w:val="24"/>
        </w:rPr>
      </w:pPr>
      <w:r w:rsidRPr="008D400A">
        <w:rPr>
          <w:sz w:val="24"/>
        </w:rPr>
        <w:t>Tyler McCandless</w:t>
      </w:r>
    </w:p>
    <w:p w14:paraId="7648C86D" w14:textId="77777777" w:rsidR="00705957" w:rsidRPr="008D400A" w:rsidRDefault="00705957" w:rsidP="00705957">
      <w:pPr>
        <w:ind w:firstLine="0"/>
        <w:jc w:val="both"/>
        <w:rPr>
          <w:sz w:val="24"/>
        </w:rPr>
      </w:pPr>
      <w:r w:rsidRPr="008D400A">
        <w:rPr>
          <w:sz w:val="24"/>
        </w:rPr>
        <w:t>National Center for Atmospheric Research</w:t>
      </w:r>
    </w:p>
    <w:p w14:paraId="613DFF4C" w14:textId="77777777" w:rsidR="00705957" w:rsidRPr="008D400A" w:rsidRDefault="00705957" w:rsidP="00705957">
      <w:pPr>
        <w:ind w:firstLine="0"/>
        <w:jc w:val="both"/>
        <w:rPr>
          <w:sz w:val="24"/>
        </w:rPr>
      </w:pPr>
      <w:r w:rsidRPr="008D400A">
        <w:rPr>
          <w:sz w:val="24"/>
        </w:rPr>
        <w:t>3450 Mitchell Lane</w:t>
      </w:r>
    </w:p>
    <w:p w14:paraId="2277F0A3" w14:textId="77777777" w:rsidR="00705957" w:rsidRPr="008D400A" w:rsidRDefault="00705957" w:rsidP="00705957">
      <w:pPr>
        <w:ind w:firstLine="0"/>
        <w:jc w:val="both"/>
        <w:rPr>
          <w:sz w:val="24"/>
        </w:rPr>
      </w:pPr>
      <w:r w:rsidRPr="008D400A">
        <w:rPr>
          <w:sz w:val="24"/>
        </w:rPr>
        <w:t>Boulder, CO 80301</w:t>
      </w:r>
    </w:p>
    <w:p w14:paraId="6E575183" w14:textId="77777777" w:rsidR="00705957" w:rsidRPr="008D400A" w:rsidRDefault="00705957" w:rsidP="00705957">
      <w:pPr>
        <w:ind w:firstLine="0"/>
        <w:jc w:val="both"/>
        <w:rPr>
          <w:sz w:val="24"/>
        </w:rPr>
      </w:pPr>
      <w:r w:rsidRPr="008D400A">
        <w:rPr>
          <w:sz w:val="24"/>
        </w:rPr>
        <w:t>303-497-8700</w:t>
      </w:r>
    </w:p>
    <w:p w14:paraId="1D5C0453" w14:textId="77777777" w:rsidR="00B94254" w:rsidRPr="00EF09C9" w:rsidRDefault="00B94254" w:rsidP="00B94254">
      <w:pPr>
        <w:pStyle w:val="SignaturePage"/>
        <w:outlineLvl w:val="0"/>
        <w:sectPr w:rsidR="00B94254" w:rsidRPr="00EF09C9" w:rsidSect="00C87ABE">
          <w:headerReference w:type="even" r:id="rId16"/>
          <w:headerReference w:type="default" r:id="rId17"/>
          <w:footerReference w:type="even" r:id="rId18"/>
          <w:footerReference w:type="default" r:id="rId19"/>
          <w:headerReference w:type="first" r:id="rId20"/>
          <w:footerReference w:type="first" r:id="rId21"/>
          <w:pgSz w:w="12240" w:h="15840" w:code="1"/>
          <w:pgMar w:top="1440" w:right="1440" w:bottom="1440" w:left="1440" w:header="720" w:footer="720" w:gutter="0"/>
          <w:lnNumType w:countBy="1" w:restart="continuous"/>
          <w:pgNumType w:fmt="lowerRoman" w:start="1"/>
          <w:cols w:space="720"/>
          <w:titlePg/>
          <w:docGrid w:linePitch="360"/>
        </w:sectPr>
      </w:pPr>
    </w:p>
    <w:p w14:paraId="203E4E9D" w14:textId="1DA43C44" w:rsidR="00B94254" w:rsidRPr="00EF09C9" w:rsidRDefault="00B94254" w:rsidP="001F3A08">
      <w:pPr>
        <w:pStyle w:val="TitleInTocNo"/>
        <w:jc w:val="both"/>
      </w:pPr>
      <w:bookmarkStart w:id="1" w:name="SignaturePage"/>
      <w:bookmarkStart w:id="2" w:name="CommitteePage"/>
      <w:bookmarkStart w:id="3" w:name="Abstract"/>
      <w:bookmarkEnd w:id="1"/>
      <w:bookmarkEnd w:id="2"/>
      <w:bookmarkEnd w:id="3"/>
      <w:r w:rsidRPr="00EF09C9">
        <w:lastRenderedPageBreak/>
        <w:t>ABSTRACT</w:t>
      </w:r>
    </w:p>
    <w:p w14:paraId="2486D21A" w14:textId="678C36AD" w:rsidR="007E653C" w:rsidRPr="004F4EF6" w:rsidRDefault="00740F8C" w:rsidP="001F3A08">
      <w:pPr>
        <w:jc w:val="both"/>
        <w:rPr>
          <w:sz w:val="24"/>
        </w:rPr>
      </w:pPr>
      <w:r>
        <w:rPr>
          <w:sz w:val="24"/>
        </w:rPr>
        <w:t>This paper describes the development and testing of a</w:t>
      </w:r>
      <w:r w:rsidRPr="004F4EF6">
        <w:rPr>
          <w:sz w:val="24"/>
        </w:rPr>
        <w:t xml:space="preserve"> </w:t>
      </w:r>
      <w:r w:rsidR="007E653C" w:rsidRPr="004F4EF6">
        <w:rPr>
          <w:sz w:val="24"/>
        </w:rPr>
        <w:t xml:space="preserve">cloud-regime dependent short-range solar irradiance forecasting system </w:t>
      </w:r>
      <w:r>
        <w:rPr>
          <w:sz w:val="24"/>
        </w:rPr>
        <w:t>for</w:t>
      </w:r>
      <w:r w:rsidR="007E653C" w:rsidRPr="004F4EF6">
        <w:rPr>
          <w:sz w:val="24"/>
        </w:rPr>
        <w:t xml:space="preserve"> 15-min average clearness index</w:t>
      </w:r>
      <w:r w:rsidR="00E56B06" w:rsidRPr="004F4EF6">
        <w:rPr>
          <w:sz w:val="24"/>
        </w:rPr>
        <w:t xml:space="preserve"> (</w:t>
      </w:r>
      <w:r w:rsidR="00586A21">
        <w:rPr>
          <w:sz w:val="24"/>
        </w:rPr>
        <w:t xml:space="preserve">global horizontal </w:t>
      </w:r>
      <w:r w:rsidR="00E56B06" w:rsidRPr="004F4EF6">
        <w:rPr>
          <w:sz w:val="24"/>
        </w:rPr>
        <w:t>irradiance)</w:t>
      </w:r>
      <w:r w:rsidR="007E653C" w:rsidRPr="004F4EF6">
        <w:rPr>
          <w:sz w:val="24"/>
        </w:rPr>
        <w:t xml:space="preserve"> predictions.   Th</w:t>
      </w:r>
      <w:r w:rsidR="00CB3AF2">
        <w:rPr>
          <w:sz w:val="24"/>
        </w:rPr>
        <w:t>is regime dependent artificial neural network</w:t>
      </w:r>
      <w:r w:rsidR="007E653C" w:rsidRPr="004F4EF6">
        <w:rPr>
          <w:sz w:val="24"/>
        </w:rPr>
        <w:t xml:space="preserve"> </w:t>
      </w:r>
      <w:r w:rsidR="00CB3AF2">
        <w:rPr>
          <w:sz w:val="24"/>
        </w:rPr>
        <w:t>(</w:t>
      </w:r>
      <w:r w:rsidR="007E653C" w:rsidRPr="004F4EF6">
        <w:rPr>
          <w:sz w:val="24"/>
        </w:rPr>
        <w:t>RD-ANN</w:t>
      </w:r>
      <w:r w:rsidR="00CB3AF2">
        <w:rPr>
          <w:sz w:val="24"/>
        </w:rPr>
        <w:t>)</w:t>
      </w:r>
      <w:r w:rsidR="007E653C" w:rsidRPr="004F4EF6">
        <w:rPr>
          <w:sz w:val="24"/>
        </w:rPr>
        <w:t xml:space="preserve"> system classifies cloud regimes with</w:t>
      </w:r>
      <w:r w:rsidR="00CC3C01" w:rsidRPr="004F4EF6">
        <w:rPr>
          <w:sz w:val="24"/>
        </w:rPr>
        <w:t xml:space="preserve"> a</w:t>
      </w:r>
      <w:r w:rsidR="007E653C" w:rsidRPr="004F4EF6">
        <w:rPr>
          <w:sz w:val="24"/>
        </w:rPr>
        <w:t xml:space="preserve"> k-means algorithm based on a combination of surface weather observations, irradiance observations and GOES-East satellite data.  T</w:t>
      </w:r>
      <w:r w:rsidR="00F043E2" w:rsidRPr="004F4EF6">
        <w:rPr>
          <w:sz w:val="24"/>
        </w:rPr>
        <w:t>he</w:t>
      </w:r>
      <w:r w:rsidR="007E653C" w:rsidRPr="004F4EF6">
        <w:rPr>
          <w:sz w:val="24"/>
        </w:rPr>
        <w:t xml:space="preserve"> ANNs are then trained on each cloud regime to predict the clearness index.  This RD-ANN system improves over the mean absolute error of the baseline clearness index persistence predictions by 1.0%, 21.0%, 26.4% and 27.4% at the 15</w:t>
      </w:r>
      <w:r w:rsidR="00F043E2" w:rsidRPr="004F4EF6">
        <w:rPr>
          <w:sz w:val="24"/>
        </w:rPr>
        <w:t>-min</w:t>
      </w:r>
      <w:r w:rsidR="007E653C" w:rsidRPr="004F4EF6">
        <w:rPr>
          <w:sz w:val="24"/>
        </w:rPr>
        <w:t>, 60</w:t>
      </w:r>
      <w:r w:rsidR="00F043E2" w:rsidRPr="004F4EF6">
        <w:rPr>
          <w:sz w:val="24"/>
        </w:rPr>
        <w:t>-min</w:t>
      </w:r>
      <w:r w:rsidR="007E653C" w:rsidRPr="004F4EF6">
        <w:rPr>
          <w:sz w:val="24"/>
        </w:rPr>
        <w:t>, 120</w:t>
      </w:r>
      <w:r w:rsidR="00F043E2" w:rsidRPr="004F4EF6">
        <w:rPr>
          <w:sz w:val="24"/>
        </w:rPr>
        <w:t>-min</w:t>
      </w:r>
      <w:r w:rsidR="007E653C" w:rsidRPr="004F4EF6">
        <w:rPr>
          <w:sz w:val="24"/>
        </w:rPr>
        <w:t xml:space="preserve"> and 180</w:t>
      </w:r>
      <w:r w:rsidR="00F043E2" w:rsidRPr="004F4EF6">
        <w:rPr>
          <w:sz w:val="24"/>
        </w:rPr>
        <w:t>-min</w:t>
      </w:r>
      <w:r w:rsidR="007E653C" w:rsidRPr="004F4EF6">
        <w:rPr>
          <w:sz w:val="24"/>
        </w:rPr>
        <w:t xml:space="preserve"> forecast lead-times</w:t>
      </w:r>
      <w:r w:rsidR="00CB3AF2">
        <w:rPr>
          <w:sz w:val="24"/>
        </w:rPr>
        <w:t>, respectively</w:t>
      </w:r>
      <w:r w:rsidR="007E653C" w:rsidRPr="004F4EF6">
        <w:rPr>
          <w:sz w:val="24"/>
        </w:rPr>
        <w:t>.  Additionally, a version of this method configured to predict the irradiance variability predicts irradiance variability more accurately than a smart persistence technique.</w:t>
      </w:r>
    </w:p>
    <w:p w14:paraId="577603C1" w14:textId="77777777" w:rsidR="000C076C" w:rsidRDefault="000C076C" w:rsidP="001F3A08">
      <w:pPr>
        <w:pStyle w:val="Heading1"/>
        <w:ind w:left="648"/>
        <w:jc w:val="both"/>
      </w:pPr>
      <w:bookmarkStart w:id="4" w:name="_Toc180479578"/>
    </w:p>
    <w:p w14:paraId="13344727" w14:textId="77777777" w:rsidR="000C076C" w:rsidRPr="000C076C" w:rsidRDefault="000C076C" w:rsidP="001F3A08">
      <w:pPr>
        <w:jc w:val="both"/>
      </w:pPr>
    </w:p>
    <w:p w14:paraId="5245A063" w14:textId="77777777" w:rsidR="00DD5A7A" w:rsidRDefault="00DD5A7A" w:rsidP="001F3A08">
      <w:pPr>
        <w:pStyle w:val="Heading1"/>
        <w:jc w:val="both"/>
      </w:pPr>
      <w:bookmarkStart w:id="5" w:name="_Toc304905578"/>
      <w:bookmarkEnd w:id="4"/>
    </w:p>
    <w:p w14:paraId="2476CDF6" w14:textId="77777777" w:rsidR="00DD5A7A" w:rsidRDefault="00DD5A7A" w:rsidP="001F3A08">
      <w:pPr>
        <w:pStyle w:val="Heading1"/>
        <w:jc w:val="both"/>
      </w:pPr>
    </w:p>
    <w:p w14:paraId="4E003B20" w14:textId="77777777" w:rsidR="000E5190" w:rsidRDefault="000E5190" w:rsidP="000E5190"/>
    <w:p w14:paraId="79E91DE7" w14:textId="77777777" w:rsidR="000E5190" w:rsidRPr="000E5190" w:rsidRDefault="000E5190" w:rsidP="000E5190"/>
    <w:p w14:paraId="6A66D5BC" w14:textId="7F2D1A9B" w:rsidR="00044C92" w:rsidRPr="00306EEB" w:rsidRDefault="000C076C" w:rsidP="000E5190">
      <w:pPr>
        <w:pStyle w:val="Heading1"/>
      </w:pPr>
      <w:r>
        <w:lastRenderedPageBreak/>
        <w:t xml:space="preserve">1. </w:t>
      </w:r>
      <w:r w:rsidR="00044C92">
        <w:t>Introduction</w:t>
      </w:r>
      <w:bookmarkEnd w:id="5"/>
    </w:p>
    <w:p w14:paraId="7678BAB9" w14:textId="045D338B" w:rsidR="00044C92" w:rsidRPr="004F4EF6" w:rsidRDefault="00044C92" w:rsidP="001F3A08">
      <w:pPr>
        <w:jc w:val="both"/>
        <w:rPr>
          <w:sz w:val="24"/>
        </w:rPr>
      </w:pPr>
      <w:r w:rsidRPr="004F4EF6">
        <w:rPr>
          <w:sz w:val="24"/>
        </w:rPr>
        <w:t xml:space="preserve">Utility companies and independent system operators (ISOs) require accurate short range forecasting of variable renewable energy sources, such as solar energy, in order to maintain power grid load balance (IRENA and CEM 2014).  Cloud cover is the most important variable in forecasting </w:t>
      </w:r>
      <w:r w:rsidR="00D21CC7">
        <w:rPr>
          <w:sz w:val="24"/>
        </w:rPr>
        <w:t xml:space="preserve">short-range </w:t>
      </w:r>
      <w:r w:rsidRPr="004F4EF6">
        <w:rPr>
          <w:sz w:val="24"/>
        </w:rPr>
        <w:t xml:space="preserve">solar energy power generation because clouds cause near instantaneous changes in power generation as they move over the solar power plant.  Forecasts of the change in cloud cover, and thus the amount of solar irradiance reaching the surface of the earth, provide necessary information for utility companies and system operators to maximize solar energy penetration </w:t>
      </w:r>
      <w:r w:rsidR="002974B6">
        <w:t>while maintaining balanced grid operation.</w:t>
      </w:r>
      <w:r w:rsidRPr="004F4EF6">
        <w:rPr>
          <w:sz w:val="24"/>
        </w:rPr>
        <w:t xml:space="preserve">  Therefore, the deterministic forecast of the solar irradiance reaching the ground is </w:t>
      </w:r>
      <w:r w:rsidR="00926DD5">
        <w:rPr>
          <w:sz w:val="24"/>
        </w:rPr>
        <w:t>important</w:t>
      </w:r>
      <w:r w:rsidR="00926DD5" w:rsidRPr="004F4EF6">
        <w:rPr>
          <w:sz w:val="24"/>
        </w:rPr>
        <w:t xml:space="preserve"> </w:t>
      </w:r>
      <w:r w:rsidRPr="004F4EF6">
        <w:rPr>
          <w:sz w:val="24"/>
        </w:rPr>
        <w:t xml:space="preserve">so that the </w:t>
      </w:r>
      <w:r w:rsidR="002974B6">
        <w:rPr>
          <w:sz w:val="24"/>
        </w:rPr>
        <w:t xml:space="preserve">generation resources required to maintain this </w:t>
      </w:r>
      <w:r w:rsidRPr="004F4EF6">
        <w:rPr>
          <w:sz w:val="24"/>
        </w:rPr>
        <w:t xml:space="preserve">balance can be </w:t>
      </w:r>
      <w:r w:rsidR="002974B6">
        <w:rPr>
          <w:sz w:val="24"/>
        </w:rPr>
        <w:t>allocated efficiently</w:t>
      </w:r>
      <w:r w:rsidRPr="004F4EF6">
        <w:rPr>
          <w:sz w:val="24"/>
        </w:rPr>
        <w:t xml:space="preserve">.  </w:t>
      </w:r>
      <w:r w:rsidR="00926DD5">
        <w:rPr>
          <w:sz w:val="24"/>
        </w:rPr>
        <w:t xml:space="preserve">In addition, forecasts of variability of the resource aid in strategic allocation of reserves. </w:t>
      </w:r>
      <w:r w:rsidRPr="004F4EF6">
        <w:rPr>
          <w:sz w:val="24"/>
        </w:rPr>
        <w:t xml:space="preserve">Our goal in this study is to leverage a statistical classification of cloud regimes in order to better tune artificial intelligence prediction algorithms so as to improve the skill of deterministic global horizontal irradiance (GHI) predictions. </w:t>
      </w:r>
    </w:p>
    <w:p w14:paraId="10A02FB0" w14:textId="584E8C19" w:rsidR="00044C92" w:rsidRPr="004F4EF6" w:rsidRDefault="00044C92" w:rsidP="001F3A08">
      <w:pPr>
        <w:jc w:val="both"/>
        <w:rPr>
          <w:sz w:val="24"/>
        </w:rPr>
      </w:pPr>
      <w:r w:rsidRPr="004F4EF6">
        <w:rPr>
          <w:sz w:val="24"/>
        </w:rPr>
        <w:t xml:space="preserve">The forecast lead-time substantially impacts the optimal predictors and forecast methodology for irradiance prediction.  Day-ahead and longer forecasts are necessary in planning conventional and variable power generation and for these lead-times, Numerical Weather Prediction (NWP) forecasts are generally used (Lorenz et al. 2012, </w:t>
      </w:r>
      <w:proofErr w:type="spellStart"/>
      <w:r w:rsidR="00240334" w:rsidRPr="004F4EF6">
        <w:rPr>
          <w:sz w:val="24"/>
        </w:rPr>
        <w:t>Kleiss</w:t>
      </w:r>
      <w:r w:rsidRPr="004F4EF6">
        <w:rPr>
          <w:sz w:val="24"/>
        </w:rPr>
        <w:t>l</w:t>
      </w:r>
      <w:proofErr w:type="spellEnd"/>
      <w:r w:rsidRPr="004F4EF6">
        <w:rPr>
          <w:sz w:val="24"/>
        </w:rPr>
        <w:t xml:space="preserve"> 2013). Intraday irradiance forecasts are used by utility companies and ISOs for load following and planning for dispatch. At these lead-times, a combination of methods: </w:t>
      </w:r>
      <w:r w:rsidRPr="004F4EF6">
        <w:rPr>
          <w:sz w:val="24"/>
        </w:rPr>
        <w:lastRenderedPageBreak/>
        <w:t>empirical models, satellite-based techniques, statistical methods, and NWP models works best (</w:t>
      </w:r>
      <w:proofErr w:type="spellStart"/>
      <w:r w:rsidRPr="004F4EF6">
        <w:rPr>
          <w:sz w:val="24"/>
        </w:rPr>
        <w:t>Bouzerdoum</w:t>
      </w:r>
      <w:proofErr w:type="spellEnd"/>
      <w:r w:rsidRPr="004F4EF6">
        <w:rPr>
          <w:sz w:val="24"/>
        </w:rPr>
        <w:t xml:space="preserve"> et al. 2013, </w:t>
      </w:r>
      <w:proofErr w:type="spellStart"/>
      <w:r w:rsidRPr="004F4EF6">
        <w:rPr>
          <w:sz w:val="24"/>
        </w:rPr>
        <w:t>Voyant</w:t>
      </w:r>
      <w:proofErr w:type="spellEnd"/>
      <w:r w:rsidRPr="004F4EF6">
        <w:rPr>
          <w:sz w:val="24"/>
        </w:rPr>
        <w:t xml:space="preserve"> et al. 2013, 2014), with the combination producing the lowest forecast error depending on the specific lead-time and available predictors. At the shortest time scales of less than 15 minutes, sky image data can be used as input to cloud-based advection techniques (Chow et al. 2011, Marquez and Coimbra 2013a, Huang et al. 2013, Quesada-Ruiz et al. 2014, Chu et al. 2015); however the number of sky imagers deployed is generally limited.  We focus on the forecast lead-times of 15 minutes to three hours, which is sufficiently short range for statistical methods to outperform NWP but beyond the range where persistence or sky imager forecasts are difficult to beat.</w:t>
      </w:r>
    </w:p>
    <w:p w14:paraId="6C523CBD" w14:textId="21462078" w:rsidR="00044C92" w:rsidRPr="004F4EF6" w:rsidRDefault="00044C92" w:rsidP="001F3A08">
      <w:pPr>
        <w:jc w:val="both"/>
        <w:rPr>
          <w:sz w:val="24"/>
        </w:rPr>
      </w:pPr>
      <w:r w:rsidRPr="004F4EF6">
        <w:rPr>
          <w:sz w:val="24"/>
        </w:rPr>
        <w:t xml:space="preserve">At forecast lead-times of 15 minutes to three hours, historically satellite-based cloud advection techniques have been used.  These techniques use Cloud-Motion Vectors (CMVs) that are computed from consecutive satellite images and then used to </w:t>
      </w:r>
      <w:proofErr w:type="spellStart"/>
      <w:r w:rsidRPr="004F4EF6">
        <w:rPr>
          <w:sz w:val="24"/>
        </w:rPr>
        <w:t>advect</w:t>
      </w:r>
      <w:proofErr w:type="spellEnd"/>
      <w:r w:rsidRPr="004F4EF6">
        <w:rPr>
          <w:sz w:val="24"/>
        </w:rPr>
        <w:t xml:space="preserve"> the satellite observed clouds into the future. The use of CMVs for solar irradiance and solar power prediction was proposed by Beyer et al. (1996) with Hammer et al. (1999) and Lorenz et al. (2004) developing more advanced advection schemes. A forecasting method that uses a phase correlation between consecutive Meteosat-9 images has been used to predict 30-min cloud index values out to four hours lead-time and on average showed 21% improvement in Root Mean Square Error (RMSE) compared to cloud index persistence (</w:t>
      </w:r>
      <w:proofErr w:type="spellStart"/>
      <w:r w:rsidRPr="004F4EF6">
        <w:rPr>
          <w:sz w:val="24"/>
        </w:rPr>
        <w:t>Cros</w:t>
      </w:r>
      <w:proofErr w:type="spellEnd"/>
      <w:r w:rsidRPr="004F4EF6">
        <w:rPr>
          <w:sz w:val="24"/>
        </w:rPr>
        <w:t xml:space="preserve"> et al. 2014).  </w:t>
      </w:r>
      <w:proofErr w:type="spellStart"/>
      <w:r w:rsidRPr="004F4EF6">
        <w:rPr>
          <w:sz w:val="24"/>
        </w:rPr>
        <w:t>Bilionis</w:t>
      </w:r>
      <w:proofErr w:type="spellEnd"/>
      <w:r w:rsidRPr="004F4EF6">
        <w:rPr>
          <w:sz w:val="24"/>
        </w:rPr>
        <w:t xml:space="preserve"> et al. (2014) </w:t>
      </w:r>
      <w:r w:rsidR="0033014C">
        <w:rPr>
          <w:sz w:val="24"/>
        </w:rPr>
        <w:t xml:space="preserve">use a probabilistic prediction technique with the application of Gaussian process model after applying a Principal Component Analysis (PCA) in an attempt to model the evolution of the clearness index from satellite images. </w:t>
      </w:r>
      <w:r w:rsidRPr="004F4EF6">
        <w:rPr>
          <w:sz w:val="24"/>
        </w:rPr>
        <w:t xml:space="preserve">To address the errors due to assuming steady clouds during </w:t>
      </w:r>
      <w:r w:rsidRPr="004F4EF6">
        <w:rPr>
          <w:sz w:val="24"/>
        </w:rPr>
        <w:lastRenderedPageBreak/>
        <w:t>advection, Miller et al. (2014) group cloud pixels into cohesive cloud structures and then employs an appropriate steering flow that uses cloud group properties to forecast their downstream development and sheering characteristics. Their intermediate position in the lead-time spectrum makes satellite-based techniques prime candidates for blending with other forecast techniques.</w:t>
      </w:r>
    </w:p>
    <w:p w14:paraId="29F11BA4" w14:textId="2BDAB444" w:rsidR="00044C92" w:rsidRPr="004F4EF6" w:rsidRDefault="00044C92" w:rsidP="001F3A08">
      <w:pPr>
        <w:jc w:val="both"/>
        <w:rPr>
          <w:sz w:val="24"/>
        </w:rPr>
      </w:pPr>
      <w:r w:rsidRPr="004F4EF6">
        <w:rPr>
          <w:sz w:val="24"/>
        </w:rPr>
        <w:t>Statistical methods are well suited to combining multiple predictors in such blended forecast systems.  Statistical models of appropriate complexity for the</w:t>
      </w:r>
      <w:r w:rsidR="005C4F01">
        <w:rPr>
          <w:sz w:val="24"/>
        </w:rPr>
        <w:t xml:space="preserve"> Global Horizontal Irradiance</w:t>
      </w:r>
      <w:r w:rsidRPr="004F4EF6">
        <w:rPr>
          <w:sz w:val="24"/>
        </w:rPr>
        <w:t xml:space="preserve"> </w:t>
      </w:r>
      <w:r w:rsidR="000F7819">
        <w:rPr>
          <w:sz w:val="24"/>
        </w:rPr>
        <w:t>(</w:t>
      </w:r>
      <w:r w:rsidRPr="004F4EF6">
        <w:rPr>
          <w:sz w:val="24"/>
        </w:rPr>
        <w:t>GHI</w:t>
      </w:r>
      <w:r w:rsidR="000F7819">
        <w:rPr>
          <w:sz w:val="24"/>
        </w:rPr>
        <w:t>)</w:t>
      </w:r>
      <w:r w:rsidRPr="004F4EF6">
        <w:rPr>
          <w:sz w:val="24"/>
        </w:rPr>
        <w:t xml:space="preserve"> forecast problem maximize the predictive value from the available predictors (e.g. satellite and ground</w:t>
      </w:r>
      <w:r w:rsidR="00926DD5">
        <w:rPr>
          <w:sz w:val="24"/>
        </w:rPr>
        <w:t>-based</w:t>
      </w:r>
      <w:r w:rsidRPr="004F4EF6">
        <w:rPr>
          <w:sz w:val="24"/>
        </w:rPr>
        <w:t xml:space="preserve"> observations).  Any regression method can be applied to GHI forecasting; however, the Artificial Neural Network (ANN) is one of the most powerful, general, and therefore most widely used (Mellit 2008, Martin et al. 2010, Pedro and Coimbra 2012, </w:t>
      </w:r>
      <w:proofErr w:type="spellStart"/>
      <w:r w:rsidRPr="004F4EF6">
        <w:rPr>
          <w:sz w:val="24"/>
        </w:rPr>
        <w:t>Notton</w:t>
      </w:r>
      <w:proofErr w:type="spellEnd"/>
      <w:r w:rsidRPr="004F4EF6">
        <w:rPr>
          <w:sz w:val="24"/>
        </w:rPr>
        <w:t xml:space="preserve"> et al. 2012, Bhardwaj et al. 2013, </w:t>
      </w:r>
      <w:proofErr w:type="spellStart"/>
      <w:r w:rsidRPr="004F4EF6">
        <w:rPr>
          <w:sz w:val="24"/>
        </w:rPr>
        <w:t>Bouzerdoum</w:t>
      </w:r>
      <w:proofErr w:type="spellEnd"/>
      <w:r w:rsidRPr="004F4EF6">
        <w:rPr>
          <w:sz w:val="24"/>
        </w:rPr>
        <w:t xml:space="preserve"> et al. 2013, </w:t>
      </w:r>
      <w:proofErr w:type="spellStart"/>
      <w:r w:rsidRPr="004F4EF6">
        <w:rPr>
          <w:sz w:val="24"/>
        </w:rPr>
        <w:t>Diagne</w:t>
      </w:r>
      <w:proofErr w:type="spellEnd"/>
      <w:r w:rsidRPr="004F4EF6">
        <w:rPr>
          <w:sz w:val="24"/>
        </w:rPr>
        <w:t xml:space="preserve"> et al. 2013, Fu and Cheng 2013, Marquez et al. 2013b, Inman et al. 2013, Chu et al. 201</w:t>
      </w:r>
      <w:r w:rsidR="00080464">
        <w:rPr>
          <w:sz w:val="24"/>
        </w:rPr>
        <w:t>3</w:t>
      </w:r>
      <w:r w:rsidRPr="004F4EF6">
        <w:rPr>
          <w:sz w:val="24"/>
        </w:rPr>
        <w:t xml:space="preserve">, Fernandez et al. 2014, </w:t>
      </w:r>
      <w:proofErr w:type="spellStart"/>
      <w:r w:rsidRPr="004F4EF6">
        <w:rPr>
          <w:sz w:val="24"/>
        </w:rPr>
        <w:t>Almonacid</w:t>
      </w:r>
      <w:proofErr w:type="spellEnd"/>
      <w:r w:rsidRPr="004F4EF6">
        <w:rPr>
          <w:sz w:val="24"/>
        </w:rPr>
        <w:t xml:space="preserve"> et al. 2</w:t>
      </w:r>
      <w:r w:rsidR="00912A4A">
        <w:rPr>
          <w:sz w:val="24"/>
        </w:rPr>
        <w:t>014, Quesada-Ruiz et al. 2014</w:t>
      </w:r>
      <w:r w:rsidRPr="004F4EF6">
        <w:rPr>
          <w:sz w:val="24"/>
        </w:rPr>
        <w:t xml:space="preserve">, among others).  The relevant predictors for estimating Direct Normal Irradiance (DNI) with a Bayesian ANN method were found to be the clearness index and the relative air mass in Lopez et al. (2005).  Pedro and Coimbra (2012) found that an ANN time series model out-performed persistence, </w:t>
      </w:r>
      <w:proofErr w:type="spellStart"/>
      <w:r w:rsidRPr="004F4EF6">
        <w:rPr>
          <w:sz w:val="24"/>
        </w:rPr>
        <w:t>AutoRegressive</w:t>
      </w:r>
      <w:proofErr w:type="spellEnd"/>
      <w:r w:rsidRPr="004F4EF6">
        <w:rPr>
          <w:sz w:val="24"/>
        </w:rPr>
        <w:t xml:space="preserve"> Integrated Moving Average (ARIMA), and k-Nearest Neighbors (</w:t>
      </w:r>
      <w:proofErr w:type="spellStart"/>
      <w:r w:rsidRPr="004F4EF6">
        <w:rPr>
          <w:sz w:val="24"/>
        </w:rPr>
        <w:t>kNN</w:t>
      </w:r>
      <w:proofErr w:type="spellEnd"/>
      <w:r w:rsidRPr="004F4EF6">
        <w:rPr>
          <w:sz w:val="24"/>
        </w:rPr>
        <w:t xml:space="preserve">) models for 1-2hr solar power predictions. Marquez et al. (2013b) used processed satellite images as input into ANNs to predict GHI from 30 minutes to 120 minutes and found between 5% and 25% reduction in RMSE compared to that of persistence.  A challenge with ANNs, however, is the large number of tunable parameters, which is </w:t>
      </w:r>
      <w:proofErr w:type="gramStart"/>
      <w:r w:rsidRPr="004F4EF6">
        <w:rPr>
          <w:sz w:val="24"/>
        </w:rPr>
        <w:t>O(</w:t>
      </w:r>
      <w:proofErr w:type="gramEnd"/>
      <w:r w:rsidRPr="004F4EF6">
        <w:rPr>
          <w:sz w:val="24"/>
        </w:rPr>
        <w:t xml:space="preserve">Number of predictors multiplied by </w:t>
      </w:r>
      <w:r w:rsidRPr="004F4EF6">
        <w:rPr>
          <w:sz w:val="24"/>
        </w:rPr>
        <w:lastRenderedPageBreak/>
        <w:t xml:space="preserve">number of neurons). This requires a large quantity of training data to prevent overfitting and the consequent loss of skill on independent data (i.e. operational use).  Another concern with using ANNs in operational forecasting is the lack of physical interpretability that could directly provide the user with forecast variability information. </w:t>
      </w:r>
    </w:p>
    <w:p w14:paraId="21BE3B85" w14:textId="0FE50FAC" w:rsidR="00044C92" w:rsidRPr="004F4EF6" w:rsidRDefault="00044C92" w:rsidP="001F3A08">
      <w:pPr>
        <w:jc w:val="both"/>
        <w:rPr>
          <w:sz w:val="24"/>
        </w:rPr>
      </w:pPr>
      <w:r w:rsidRPr="004F4EF6">
        <w:rPr>
          <w:sz w:val="24"/>
        </w:rPr>
        <w:t xml:space="preserve">We partition the data into subsets based on cloud regimes in order to forecast variability and to more accurately tune the ANN model for the peculiarities and consequent forecast challenges of each specific cloud regime.  This solar irradiance variability was shown to differ among satellite data derived cloud types in </w:t>
      </w:r>
      <w:proofErr w:type="spellStart"/>
      <w:r w:rsidRPr="004F4EF6">
        <w:rPr>
          <w:sz w:val="24"/>
        </w:rPr>
        <w:t>Hinkelman</w:t>
      </w:r>
      <w:proofErr w:type="spellEnd"/>
      <w:r w:rsidRPr="004F4EF6">
        <w:rPr>
          <w:sz w:val="24"/>
        </w:rPr>
        <w:t xml:space="preserve"> (2014). Regime-based prediction has been used in several different solar irradiance and solar power applications.   </w:t>
      </w:r>
      <w:proofErr w:type="spellStart"/>
      <w:r w:rsidRPr="004F4EF6">
        <w:rPr>
          <w:sz w:val="24"/>
        </w:rPr>
        <w:t>Tapakis</w:t>
      </w:r>
      <w:proofErr w:type="spellEnd"/>
      <w:r w:rsidRPr="004F4EF6">
        <w:rPr>
          <w:sz w:val="24"/>
        </w:rPr>
        <w:t xml:space="preserve"> and </w:t>
      </w:r>
      <w:proofErr w:type="spellStart"/>
      <w:r w:rsidRPr="004F4EF6">
        <w:rPr>
          <w:sz w:val="24"/>
        </w:rPr>
        <w:t>Charalambides</w:t>
      </w:r>
      <w:proofErr w:type="spellEnd"/>
      <w:r w:rsidRPr="004F4EF6">
        <w:rPr>
          <w:sz w:val="24"/>
        </w:rPr>
        <w:t xml:space="preserve"> (2013) provide a review of various methodologies for both supervised and unsupervised cloud classification. The unsupervised techniques classify based on the pixels of an image. The supervised techniques, which are divided into simple, statistical and artificial subgroups, classify based on available training datasets and arithmetic complexity of the technique. A one-step stochastic prediction process of cloud cover or clearness index with transition matrices dependent on the relative sunshine amount is presented in McCandless et al. (2014) and </w:t>
      </w:r>
      <w:proofErr w:type="spellStart"/>
      <w:r w:rsidRPr="004F4EF6">
        <w:rPr>
          <w:sz w:val="24"/>
        </w:rPr>
        <w:t>Morf</w:t>
      </w:r>
      <w:proofErr w:type="spellEnd"/>
      <w:r w:rsidRPr="004F4EF6">
        <w:rPr>
          <w:sz w:val="24"/>
        </w:rPr>
        <w:t xml:space="preserve"> (2014). </w:t>
      </w:r>
      <w:proofErr w:type="spellStart"/>
      <w:r w:rsidRPr="004F4EF6">
        <w:rPr>
          <w:sz w:val="24"/>
        </w:rPr>
        <w:t>Zagour</w:t>
      </w:r>
      <w:r w:rsidR="00912A4A">
        <w:rPr>
          <w:sz w:val="24"/>
        </w:rPr>
        <w:t>as</w:t>
      </w:r>
      <w:proofErr w:type="spellEnd"/>
      <w:r w:rsidR="00912A4A">
        <w:rPr>
          <w:sz w:val="24"/>
        </w:rPr>
        <w:t xml:space="preserve"> et al. (2013</w:t>
      </w:r>
      <w:r w:rsidRPr="004F4EF6">
        <w:rPr>
          <w:sz w:val="24"/>
        </w:rPr>
        <w:t xml:space="preserve">) used a k-means </w:t>
      </w:r>
      <w:r w:rsidR="003E4FBF">
        <w:rPr>
          <w:sz w:val="24"/>
        </w:rPr>
        <w:t xml:space="preserve">clustering </w:t>
      </w:r>
      <w:r w:rsidRPr="004F4EF6">
        <w:rPr>
          <w:sz w:val="24"/>
        </w:rPr>
        <w:t>algorithm with a stable initialization method to identify regimes based on step-changes of the average daily clear sky index in the San Diego, California region.  A simple approach based on the daily total solar irradiance identified clear, partly cloudy, and cloudy regimes with separate ANN models developed on each regime in Mellit et al. (2014) and showed that</w:t>
      </w:r>
      <w:r w:rsidR="003E4FBF">
        <w:rPr>
          <w:sz w:val="24"/>
        </w:rPr>
        <w:t>,</w:t>
      </w:r>
      <w:r w:rsidRPr="004F4EF6">
        <w:rPr>
          <w:sz w:val="24"/>
        </w:rPr>
        <w:t xml:space="preserve"> particularly for the cloudy days, the ANN model trained on only those days improved on the ANN model trained on all days</w:t>
      </w:r>
      <w:r w:rsidR="00A11630">
        <w:rPr>
          <w:sz w:val="24"/>
        </w:rPr>
        <w:t xml:space="preserve">.  McCandless et al. (2015) used a </w:t>
      </w:r>
      <w:r w:rsidR="003A799D">
        <w:rPr>
          <w:sz w:val="24"/>
        </w:rPr>
        <w:t>k</w:t>
      </w:r>
      <w:r w:rsidR="00A11630">
        <w:rPr>
          <w:sz w:val="24"/>
        </w:rPr>
        <w:t>-</w:t>
      </w:r>
      <w:r w:rsidR="003A799D">
        <w:rPr>
          <w:sz w:val="24"/>
        </w:rPr>
        <w:t>m</w:t>
      </w:r>
      <w:r w:rsidR="00A11630">
        <w:rPr>
          <w:sz w:val="24"/>
        </w:rPr>
        <w:t xml:space="preserve">eans algorithm </w:t>
      </w:r>
      <w:r w:rsidR="00A11630">
        <w:rPr>
          <w:sz w:val="24"/>
        </w:rPr>
        <w:lastRenderedPageBreak/>
        <w:t>on surface weather and irradiance observations to identify regimes before applying an ANN</w:t>
      </w:r>
      <w:r w:rsidRPr="004F4EF6">
        <w:rPr>
          <w:sz w:val="24"/>
        </w:rPr>
        <w:t>. The separation into cloud regimes allows an AI model to identify repeatable patterns in surface solar irradiance; however, there is a lack of research into 1) what are the most important inputs for cloud regime classification and</w:t>
      </w:r>
      <w:proofErr w:type="gramStart"/>
      <w:r w:rsidRPr="004F4EF6">
        <w:rPr>
          <w:sz w:val="24"/>
        </w:rPr>
        <w:t xml:space="preserve"> 2) what are the most important predictors for an AI method to most efficiently</w:t>
      </w:r>
      <w:proofErr w:type="gramEnd"/>
      <w:r w:rsidRPr="004F4EF6">
        <w:rPr>
          <w:sz w:val="24"/>
        </w:rPr>
        <w:t xml:space="preserve"> and </w:t>
      </w:r>
      <w:r w:rsidR="009779D3">
        <w:rPr>
          <w:sz w:val="24"/>
        </w:rPr>
        <w:t>make accurate short range predictions of solar irradiance</w:t>
      </w:r>
      <w:r w:rsidRPr="004F4EF6">
        <w:rPr>
          <w:sz w:val="24"/>
        </w:rPr>
        <w:t xml:space="preserve">. </w:t>
      </w:r>
    </w:p>
    <w:p w14:paraId="19FE2819" w14:textId="77777777" w:rsidR="00044C92" w:rsidRPr="004F4EF6" w:rsidRDefault="00044C92" w:rsidP="001F3A08">
      <w:pPr>
        <w:jc w:val="both"/>
        <w:rPr>
          <w:sz w:val="24"/>
        </w:rPr>
      </w:pPr>
      <w:r w:rsidRPr="004F4EF6">
        <w:rPr>
          <w:sz w:val="24"/>
        </w:rPr>
        <w:t xml:space="preserve">Rather than burden the ANN with the task of both identifying cloud regimes and responding to them correctly, a separate statistical model can be used to identify regimes before fitting the ANN.  This approach allows the ANN to focus on the forecast mission for a specific cloud type.  This simplification of each ANN’s mission allows it to be implemented with a simpler configuration (fewer neurons and tunable parameters).  Thus, better tuning can be achieved for a given amount of training data.  However, the accurate classification of cloud regime is necessary for the ANN to focus on each cloud regime’s peculiarities. To do so, we utilize a combination of inputs that are specific to the goal of identifying cloud regimes in a k-means regime classification method. Because training data are always limited, this new approach offers the potential for improving the skill of ANNs in solar irradiance prediction.  </w:t>
      </w:r>
    </w:p>
    <w:p w14:paraId="46550533" w14:textId="19E6A115" w:rsidR="00044C92" w:rsidRPr="004F4EF6" w:rsidRDefault="00044C92" w:rsidP="001F3A08">
      <w:pPr>
        <w:jc w:val="both"/>
        <w:rPr>
          <w:sz w:val="24"/>
        </w:rPr>
      </w:pPr>
      <w:r w:rsidRPr="004F4EF6">
        <w:rPr>
          <w:sz w:val="24"/>
        </w:rPr>
        <w:t>Section 2 describes the datasets and the derived predictors.  Section 3 provides an overview of the process and section 4 explains the clearness index persistence baseline prediction method and the artificial intelligence prediction techniques.  We illustrate the various regime-dependent ANNs used in this st</w:t>
      </w:r>
      <w:r w:rsidR="00D435D5" w:rsidRPr="004F4EF6">
        <w:rPr>
          <w:sz w:val="24"/>
        </w:rPr>
        <w:t>udy in Section 5 with Appendix</w:t>
      </w:r>
      <w:r w:rsidRPr="004F4EF6">
        <w:rPr>
          <w:sz w:val="24"/>
        </w:rPr>
        <w:t xml:space="preserve"> describing the k-means regime classification.  Section 6 presents the results and Section 7 provides discussion and conclusions. </w:t>
      </w:r>
    </w:p>
    <w:p w14:paraId="324896A0" w14:textId="5C230138" w:rsidR="00044C92" w:rsidRPr="00306EEB" w:rsidRDefault="00D00713" w:rsidP="000E5190">
      <w:pPr>
        <w:pStyle w:val="Heading1"/>
      </w:pPr>
      <w:bookmarkStart w:id="6" w:name="_Toc304905579"/>
      <w:r>
        <w:lastRenderedPageBreak/>
        <w:t xml:space="preserve">2. </w:t>
      </w:r>
      <w:r w:rsidR="00F9730B">
        <w:t>Data</w:t>
      </w:r>
      <w:bookmarkEnd w:id="6"/>
    </w:p>
    <w:p w14:paraId="6B1BDCD7" w14:textId="77777777" w:rsidR="00044C92" w:rsidRPr="004F4EF6" w:rsidRDefault="00044C92" w:rsidP="001F3A08">
      <w:pPr>
        <w:jc w:val="both"/>
        <w:rPr>
          <w:sz w:val="24"/>
        </w:rPr>
      </w:pPr>
      <w:r w:rsidRPr="004F4EF6">
        <w:rPr>
          <w:sz w:val="24"/>
        </w:rPr>
        <w:t xml:space="preserve">We wish to determine the optimal set of inputs for the k-means algorithm and predictors for the artificial neural network in order to create the best configuration for the regime dependent artificial neural network (RD-ANN) forecasting system.  To do so, we use data from three types of sources; irradiance observation systems, surface weather observation networks, and satellite observations.  We use two irradiance observation systems located in different regions of the United States in order to test the prediction system in different </w:t>
      </w:r>
      <w:proofErr w:type="spellStart"/>
      <w:r w:rsidRPr="004F4EF6">
        <w:rPr>
          <w:sz w:val="24"/>
        </w:rPr>
        <w:t>climatologies</w:t>
      </w:r>
      <w:proofErr w:type="spellEnd"/>
      <w:r w:rsidRPr="004F4EF6">
        <w:rPr>
          <w:sz w:val="24"/>
        </w:rPr>
        <w:t xml:space="preserve"> with different training data sizes.  </w:t>
      </w:r>
    </w:p>
    <w:p w14:paraId="07448EBE" w14:textId="253E1316" w:rsidR="005D2F44" w:rsidRPr="004F4EF6" w:rsidRDefault="00044C92" w:rsidP="001F3A08">
      <w:pPr>
        <w:jc w:val="both"/>
        <w:rPr>
          <w:sz w:val="24"/>
        </w:rPr>
      </w:pPr>
      <w:r w:rsidRPr="004F4EF6">
        <w:rPr>
          <w:sz w:val="24"/>
        </w:rPr>
        <w:t xml:space="preserve">We use approximately one year of data from the Sacramento Utility District (SMUD) located in the Sacramento Valley of California.  We use data from eight solar power forecast sites that measure irradiance, shown in </w:t>
      </w:r>
      <w:r w:rsidR="00842251" w:rsidRPr="004F4EF6">
        <w:rPr>
          <w:sz w:val="24"/>
        </w:rPr>
        <w:t>Figure 1</w:t>
      </w:r>
      <w:r w:rsidRPr="004F4EF6">
        <w:rPr>
          <w:sz w:val="24"/>
        </w:rPr>
        <w:t xml:space="preserve"> as blue triangles. The GHI observations are available for a period of 367 days from January 25, 2014 through January 26, 2015.  The temporal resolution of the raw data is one minute and averages are computed over 15-min intervals ending at:</w:t>
      </w:r>
      <w:r w:rsidR="003A799D">
        <w:rPr>
          <w:sz w:val="24"/>
        </w:rPr>
        <w:t xml:space="preserve"> </w:t>
      </w:r>
      <w:r w:rsidRPr="004F4EF6">
        <w:rPr>
          <w:sz w:val="24"/>
        </w:rPr>
        <w:t>00</w:t>
      </w:r>
      <w:proofErr w:type="gramStart"/>
      <w:r w:rsidRPr="004F4EF6">
        <w:rPr>
          <w:sz w:val="24"/>
        </w:rPr>
        <w:t>, :</w:t>
      </w:r>
      <w:proofErr w:type="gramEnd"/>
      <w:r w:rsidRPr="004F4EF6">
        <w:rPr>
          <w:sz w:val="24"/>
        </w:rPr>
        <w:t>15, :30, and :45.  The 15-min averaged GHI data are then converted to clearness index values. The clearness index is the ratio of the GHI observed at the surface to the Top of Atmosphere (TOA) expected GHI, which is computed via a series of geometric calculations for a given location</w:t>
      </w:r>
      <w:r w:rsidR="007F5222">
        <w:rPr>
          <w:sz w:val="24"/>
        </w:rPr>
        <w:t>, date</w:t>
      </w:r>
      <w:r w:rsidRPr="004F4EF6">
        <w:rPr>
          <w:sz w:val="24"/>
        </w:rPr>
        <w:t xml:space="preserve"> and time.  This averaging interval was selected after communication with several utility companies and </w:t>
      </w:r>
      <w:r w:rsidR="007F5222">
        <w:rPr>
          <w:sz w:val="24"/>
        </w:rPr>
        <w:t>corresponds to</w:t>
      </w:r>
      <w:r w:rsidRPr="004F4EF6">
        <w:rPr>
          <w:sz w:val="24"/>
        </w:rPr>
        <w:t xml:space="preserve"> the shortest time range for which a forecast is currently useful for dispatch decision-making in the United States. All instances with missing data or nighttime observations are excluded from the final dataset. </w:t>
      </w:r>
    </w:p>
    <w:p w14:paraId="67268D3E" w14:textId="28277004" w:rsidR="00382B6D" w:rsidRPr="004F4EF6" w:rsidRDefault="00044C92" w:rsidP="001F3A08">
      <w:pPr>
        <w:jc w:val="both"/>
        <w:rPr>
          <w:sz w:val="24"/>
        </w:rPr>
      </w:pPr>
      <w:r w:rsidRPr="004F4EF6">
        <w:rPr>
          <w:sz w:val="24"/>
        </w:rPr>
        <w:lastRenderedPageBreak/>
        <w:t>Brookhaven National Laboratory (BNL), located on Long Island in New York, is our second irradiance measurement system. We use data from one solar power forecast site that me</w:t>
      </w:r>
      <w:r w:rsidR="00EB3A58" w:rsidRPr="004F4EF6">
        <w:rPr>
          <w:sz w:val="24"/>
        </w:rPr>
        <w:t xml:space="preserve">asures irradiance, shown in </w:t>
      </w:r>
      <w:r w:rsidR="00842251" w:rsidRPr="004F4EF6">
        <w:rPr>
          <w:sz w:val="24"/>
        </w:rPr>
        <w:t>Figure 2</w:t>
      </w:r>
      <w:r w:rsidRPr="004F4EF6">
        <w:rPr>
          <w:sz w:val="24"/>
        </w:rPr>
        <w:t xml:space="preserve"> as a blue triangle.  The dataset includes one year of data, from May 20, 2014 to May 19, 2015.  All instances with missing data or nighttime observations are excluded from the final dataset.</w:t>
      </w:r>
    </w:p>
    <w:p w14:paraId="7045D738" w14:textId="03FF99CA" w:rsidR="00044C92" w:rsidRPr="004F4EF6" w:rsidRDefault="00044C92" w:rsidP="001F3A08">
      <w:pPr>
        <w:jc w:val="both"/>
        <w:rPr>
          <w:sz w:val="24"/>
        </w:rPr>
      </w:pPr>
      <w:r w:rsidRPr="004F4EF6">
        <w:rPr>
          <w:sz w:val="24"/>
        </w:rPr>
        <w:t xml:space="preserve">The two locations of irradiance observations; Long Island, NY, and Sacramento, CA, have different climates and therefore have different irradiance variability characteristics. This allows a test of our method’s robustness in predicting irradiance under different weather conditions and different number of training instances.  For the BNL site on Long Island, NY, the climate is characterized by more variable cloud cover due to higher humidity resulting from its close proximity to the Atlantic Ocean. Monthly average precipitation for Long Island is relatively consistent, in contrast to Sacramento that typically experiences rainy winters and dry summers. </w:t>
      </w:r>
    </w:p>
    <w:p w14:paraId="425E7A00" w14:textId="30137D95" w:rsidR="00044C92" w:rsidRPr="004F4EF6" w:rsidRDefault="00044C92" w:rsidP="001F3A08">
      <w:pPr>
        <w:jc w:val="both"/>
        <w:rPr>
          <w:sz w:val="24"/>
        </w:rPr>
      </w:pPr>
      <w:r w:rsidRPr="004F4EF6">
        <w:rPr>
          <w:sz w:val="24"/>
        </w:rPr>
        <w:t xml:space="preserve">Surface weather observations are not available at the irradiance observation sites; </w:t>
      </w:r>
      <w:r w:rsidR="007F5222" w:rsidRPr="004F4EF6">
        <w:rPr>
          <w:sz w:val="24"/>
        </w:rPr>
        <w:t>th</w:t>
      </w:r>
      <w:r w:rsidR="007F5222">
        <w:rPr>
          <w:sz w:val="24"/>
        </w:rPr>
        <w:t>erefore</w:t>
      </w:r>
      <w:r w:rsidRPr="004F4EF6">
        <w:rPr>
          <w:sz w:val="24"/>
        </w:rPr>
        <w:t xml:space="preserve"> the three nearest</w:t>
      </w:r>
      <w:r w:rsidR="00E4352E">
        <w:rPr>
          <w:sz w:val="24"/>
        </w:rPr>
        <w:t xml:space="preserve"> Meteorological Aviation Reporting (</w:t>
      </w:r>
      <w:r w:rsidRPr="004F4EF6">
        <w:rPr>
          <w:sz w:val="24"/>
        </w:rPr>
        <w:t>METAR</w:t>
      </w:r>
      <w:r w:rsidR="00E4352E">
        <w:rPr>
          <w:sz w:val="24"/>
        </w:rPr>
        <w:t>)</w:t>
      </w:r>
      <w:r w:rsidRPr="004F4EF6">
        <w:rPr>
          <w:sz w:val="24"/>
        </w:rPr>
        <w:t xml:space="preserve"> sites are used to characterize the local weather.  The three closest METAR sites are shown as red X’s in </w:t>
      </w:r>
      <w:r w:rsidR="00842251" w:rsidRPr="004F4EF6">
        <w:rPr>
          <w:sz w:val="24"/>
        </w:rPr>
        <w:t>Figure 1</w:t>
      </w:r>
      <w:r w:rsidRPr="004F4EF6">
        <w:rPr>
          <w:sz w:val="24"/>
        </w:rPr>
        <w:t xml:space="preserve"> for the SMUD region and in </w:t>
      </w:r>
      <w:r w:rsidR="00842251" w:rsidRPr="004F4EF6">
        <w:rPr>
          <w:sz w:val="24"/>
        </w:rPr>
        <w:t>Figure 2</w:t>
      </w:r>
      <w:r w:rsidRPr="004F4EF6">
        <w:rPr>
          <w:sz w:val="24"/>
        </w:rPr>
        <w:t xml:space="preserve"> for the BNL region.  These observations are recorded at the top of every hour. We use six weather variables: cloud cover, </w:t>
      </w:r>
      <w:proofErr w:type="spellStart"/>
      <w:r w:rsidRPr="004F4EF6">
        <w:rPr>
          <w:sz w:val="24"/>
        </w:rPr>
        <w:t>dewpoint</w:t>
      </w:r>
      <w:proofErr w:type="spellEnd"/>
      <w:r w:rsidRPr="004F4EF6">
        <w:rPr>
          <w:sz w:val="24"/>
        </w:rPr>
        <w:t xml:space="preserve"> temperature, precipitation occurrence in the last hour (1 = precipitation occurred, 0 = precipitation did not occur), precipitation amount, temperature and wind speed.</w:t>
      </w:r>
    </w:p>
    <w:p w14:paraId="6818E535" w14:textId="7E63BFD4" w:rsidR="00451B4B" w:rsidRPr="00451B4B" w:rsidRDefault="00451B4B" w:rsidP="00451B4B">
      <w:pPr>
        <w:jc w:val="both"/>
        <w:rPr>
          <w:sz w:val="24"/>
        </w:rPr>
      </w:pPr>
      <w:r w:rsidRPr="00451B4B">
        <w:rPr>
          <w:sz w:val="24"/>
        </w:rPr>
        <w:t xml:space="preserve">The satellite data used as forecast predictors came from NOAA’s GOES-East Geostationary Operational Environmental Satellite.  </w:t>
      </w:r>
      <w:r w:rsidR="003E4FBF">
        <w:rPr>
          <w:sz w:val="24"/>
        </w:rPr>
        <w:t xml:space="preserve">The </w:t>
      </w:r>
      <w:r w:rsidRPr="00451B4B">
        <w:rPr>
          <w:sz w:val="24"/>
        </w:rPr>
        <w:t xml:space="preserve">GOES data </w:t>
      </w:r>
      <w:r w:rsidR="00613C5B">
        <w:rPr>
          <w:sz w:val="24"/>
        </w:rPr>
        <w:t>were</w:t>
      </w:r>
      <w:r w:rsidRPr="00451B4B">
        <w:rPr>
          <w:sz w:val="24"/>
        </w:rPr>
        <w:t xml:space="preserve"> chosen for this </w:t>
      </w:r>
      <w:r w:rsidRPr="00451B4B">
        <w:rPr>
          <w:sz w:val="24"/>
        </w:rPr>
        <w:lastRenderedPageBreak/>
        <w:t xml:space="preserve">work because </w:t>
      </w:r>
      <w:r w:rsidR="00613C5B">
        <w:rPr>
          <w:sz w:val="24"/>
        </w:rPr>
        <w:t>they are</w:t>
      </w:r>
      <w:r w:rsidRPr="00451B4B">
        <w:rPr>
          <w:sz w:val="24"/>
        </w:rPr>
        <w:t xml:space="preserve"> acquired operationally every 15 minutes with a nominal nadir footprint of just 1 km in the shortwave and 4 km in the infrared channels.  GOES-East was selected over GOES-West for two reasons.  First, the position of GOES-East at 75</w:t>
      </w:r>
      <w:r w:rsidRPr="00451B4B">
        <w:rPr>
          <w:b/>
          <w:sz w:val="24"/>
        </w:rPr>
        <w:t>°</w:t>
      </w:r>
      <w:r w:rsidRPr="00451B4B">
        <w:rPr>
          <w:sz w:val="24"/>
        </w:rPr>
        <w:t>W provides views of both the California and New York forecast sites at less oblique angles than the 135</w:t>
      </w:r>
      <w:r w:rsidRPr="00451B4B">
        <w:rPr>
          <w:b/>
          <w:sz w:val="24"/>
        </w:rPr>
        <w:t>°</w:t>
      </w:r>
      <w:r w:rsidRPr="00451B4B">
        <w:rPr>
          <w:sz w:val="24"/>
        </w:rPr>
        <w:t>W location of GOES-West.  Second, processed GOES imager data w</w:t>
      </w:r>
      <w:r w:rsidR="00613C5B">
        <w:rPr>
          <w:sz w:val="24"/>
        </w:rPr>
        <w:t>ere</w:t>
      </w:r>
      <w:r w:rsidRPr="00451B4B">
        <w:rPr>
          <w:sz w:val="24"/>
        </w:rPr>
        <w:t xml:space="preserve"> only available from the GOES-East acquisitions at 0:15 and 0:45 after the hour and from GOES-West acquisitions at 0:00 and 0:30 after the hour.  Allowing for a latency time of 15 min, the 0:45 acquisition provides the most up-to-date information for the </w:t>
      </w:r>
      <w:proofErr w:type="spellStart"/>
      <w:r w:rsidRPr="00451B4B">
        <w:rPr>
          <w:sz w:val="24"/>
        </w:rPr>
        <w:t>reinitialization</w:t>
      </w:r>
      <w:proofErr w:type="spellEnd"/>
      <w:r w:rsidRPr="00451B4B">
        <w:rPr>
          <w:sz w:val="24"/>
        </w:rPr>
        <w:t xml:space="preserve"> of our forecast system at the top of every hour.</w:t>
      </w:r>
    </w:p>
    <w:p w14:paraId="1E1E1AAB" w14:textId="3E368B4D" w:rsidR="00451B4B" w:rsidRPr="00451B4B" w:rsidRDefault="00451B4B" w:rsidP="00451B4B">
      <w:pPr>
        <w:jc w:val="both"/>
        <w:rPr>
          <w:sz w:val="24"/>
        </w:rPr>
      </w:pPr>
      <w:r w:rsidRPr="00451B4B">
        <w:rPr>
          <w:sz w:val="24"/>
        </w:rPr>
        <w:t xml:space="preserve"> The GOES-East data consists of both directly measured and retrieved variables provided in level-2 output from the Pathfinders Atmosphere-Extended (PATMOS-x) retrieval suite (</w:t>
      </w:r>
      <w:proofErr w:type="spellStart"/>
      <w:r w:rsidRPr="00451B4B">
        <w:rPr>
          <w:sz w:val="24"/>
        </w:rPr>
        <w:t>Heidinger</w:t>
      </w:r>
      <w:proofErr w:type="spellEnd"/>
      <w:r w:rsidRPr="00451B4B">
        <w:rPr>
          <w:sz w:val="24"/>
        </w:rPr>
        <w:t xml:space="preserve"> et al., 2013) run operationally by NOAA’s Cooperative Institute for Meteorological Satellite Studies (CIMSS) and, for this project, by the Cooperative Institute for Research in the Atmosphere (CIRA).  The directly measured variables are radiance values at wavelength bands centered on 650 nm (visible) and 3.75 </w:t>
      </w:r>
      <w:proofErr w:type="spellStart"/>
      <w:r w:rsidRPr="00451B4B">
        <w:rPr>
          <w:sz w:val="24"/>
        </w:rPr>
        <w:t>μm</w:t>
      </w:r>
      <w:proofErr w:type="spellEnd"/>
      <w:r w:rsidRPr="00451B4B">
        <w:rPr>
          <w:sz w:val="24"/>
        </w:rPr>
        <w:t xml:space="preserve"> (infrared) and brightness temperatures at 3.75 </w:t>
      </w:r>
      <w:proofErr w:type="spellStart"/>
      <w:r w:rsidRPr="00451B4B">
        <w:rPr>
          <w:sz w:val="24"/>
        </w:rPr>
        <w:t>μm</w:t>
      </w:r>
      <w:proofErr w:type="spellEnd"/>
      <w:r w:rsidRPr="00451B4B">
        <w:rPr>
          <w:sz w:val="24"/>
        </w:rPr>
        <w:t xml:space="preserve"> and </w:t>
      </w:r>
      <w:r w:rsidR="00A6310F">
        <w:rPr>
          <w:sz w:val="24"/>
        </w:rPr>
        <w:t xml:space="preserve">11.0 </w:t>
      </w:r>
      <w:proofErr w:type="spellStart"/>
      <w:r w:rsidR="00FD6FDC" w:rsidRPr="00451B4B">
        <w:rPr>
          <w:sz w:val="24"/>
        </w:rPr>
        <w:t>μm</w:t>
      </w:r>
      <w:proofErr w:type="spellEnd"/>
      <w:r w:rsidRPr="00451B4B">
        <w:rPr>
          <w:sz w:val="24"/>
        </w:rPr>
        <w:t xml:space="preserve"> (water vapor window).  The retrieved variables applied in this study were cloud top temperature, cloud frac</w:t>
      </w:r>
      <w:r w:rsidR="00A6310F">
        <w:rPr>
          <w:sz w:val="24"/>
        </w:rPr>
        <w:t>tion, cloud optical depth, hydrometeor</w:t>
      </w:r>
      <w:r w:rsidRPr="00451B4B">
        <w:rPr>
          <w:sz w:val="24"/>
        </w:rPr>
        <w:t xml:space="preserve"> effective radius, and cloud type, where the cloud types included the categories fog, liquid water clouds, </w:t>
      </w:r>
      <w:proofErr w:type="spellStart"/>
      <w:r w:rsidRPr="00451B4B">
        <w:rPr>
          <w:sz w:val="24"/>
        </w:rPr>
        <w:t>supercooled</w:t>
      </w:r>
      <w:proofErr w:type="spellEnd"/>
      <w:r w:rsidRPr="00451B4B">
        <w:rPr>
          <w:sz w:val="24"/>
        </w:rPr>
        <w:t xml:space="preserve"> water clouds, opaque ice clouds, cirrus clouds, vertically overlapping clouds, and overshooting clouds.  Instantaneous solar zenith angles were also taken from the satellite data files.  The data </w:t>
      </w:r>
      <w:r w:rsidR="00613C5B">
        <w:rPr>
          <w:sz w:val="24"/>
        </w:rPr>
        <w:t>a</w:t>
      </w:r>
      <w:r w:rsidRPr="00451B4B">
        <w:rPr>
          <w:sz w:val="24"/>
        </w:rPr>
        <w:t xml:space="preserve">re provided as </w:t>
      </w:r>
      <w:proofErr w:type="spellStart"/>
      <w:r w:rsidRPr="00451B4B">
        <w:rPr>
          <w:sz w:val="24"/>
        </w:rPr>
        <w:t>ungridded</w:t>
      </w:r>
      <w:proofErr w:type="spellEnd"/>
      <w:r w:rsidRPr="00451B4B">
        <w:rPr>
          <w:sz w:val="24"/>
        </w:rPr>
        <w:t xml:space="preserve"> 4-km footprints.  The values supplied to the forecast system </w:t>
      </w:r>
      <w:r w:rsidR="00613C5B">
        <w:rPr>
          <w:sz w:val="24"/>
        </w:rPr>
        <w:lastRenderedPageBreak/>
        <w:t>a</w:t>
      </w:r>
      <w:r w:rsidRPr="00451B4B">
        <w:rPr>
          <w:sz w:val="24"/>
        </w:rPr>
        <w:t>re averages over the nine footprints closest to each of the forecast locations at 0:45 after each hour.</w:t>
      </w:r>
    </w:p>
    <w:p w14:paraId="3B4D51C2" w14:textId="51F69938" w:rsidR="00044C92" w:rsidRPr="004F4EF6" w:rsidRDefault="00044C92" w:rsidP="001F3A08">
      <w:pPr>
        <w:jc w:val="both"/>
        <w:rPr>
          <w:sz w:val="24"/>
        </w:rPr>
      </w:pPr>
      <w:r w:rsidRPr="004F4EF6">
        <w:rPr>
          <w:sz w:val="24"/>
        </w:rPr>
        <w:t xml:space="preserve">In addition to the observed irradiance and weather predictors, it is often useful to derive additional variables in order to emphasize important physical processes.  Based on our previous work (McCandless et al. 2015), we derive inputs specific to the k-means classification system as well predictors specific to the ANN prediction system. In particular, we leverage our meteorological knowledge to provide the k-means algorithm with inputs in order to identify cloud regimes and to provide the ANNs with predictors for predicting solar irradiance.  Based on that previous work (McCandless et al. 2015), variables </w:t>
      </w:r>
      <w:r w:rsidR="00613C5B">
        <w:rPr>
          <w:sz w:val="24"/>
        </w:rPr>
        <w:t xml:space="preserve">used </w:t>
      </w:r>
      <w:r w:rsidRPr="004F4EF6">
        <w:rPr>
          <w:sz w:val="24"/>
        </w:rPr>
        <w:t xml:space="preserve">as inputs for the k-means algorithm </w:t>
      </w:r>
      <w:r w:rsidR="00613C5B">
        <w:rPr>
          <w:sz w:val="24"/>
        </w:rPr>
        <w:t>include</w:t>
      </w:r>
      <w:r w:rsidRPr="004F4EF6">
        <w:rPr>
          <w:sz w:val="24"/>
        </w:rPr>
        <w:t xml:space="preserve"> the cloud cover squared averaged over the three nearest METAR sites and the standard deviation of the cloud cover for the three nearest METAR sites so as to weight higher regional cloud cover values and to quantify the regional solar irradiance variability.  Another predictor, </w:t>
      </w:r>
      <w:proofErr w:type="spellStart"/>
      <w:r w:rsidRPr="004F4EF6">
        <w:rPr>
          <w:sz w:val="24"/>
        </w:rPr>
        <w:t>dewpoint</w:t>
      </w:r>
      <w:proofErr w:type="spellEnd"/>
      <w:r w:rsidRPr="004F4EF6">
        <w:rPr>
          <w:sz w:val="24"/>
        </w:rPr>
        <w:t xml:space="preserve"> depression</w:t>
      </w:r>
      <w:r w:rsidR="00FD6FDC">
        <w:rPr>
          <w:sz w:val="24"/>
        </w:rPr>
        <w:t>,</w:t>
      </w:r>
      <w:r w:rsidRPr="004F4EF6">
        <w:rPr>
          <w:sz w:val="24"/>
        </w:rPr>
        <w:t xml:space="preserve"> defined as the difference between the temperature and the </w:t>
      </w:r>
      <w:proofErr w:type="spellStart"/>
      <w:r w:rsidRPr="004F4EF6">
        <w:rPr>
          <w:sz w:val="24"/>
        </w:rPr>
        <w:t>dewpoint</w:t>
      </w:r>
      <w:proofErr w:type="spellEnd"/>
      <w:r w:rsidRPr="004F4EF6">
        <w:rPr>
          <w:sz w:val="24"/>
        </w:rPr>
        <w:t xml:space="preserve"> temperature, quantifies the atmosphere’s nearness to saturation at the surface. This derived predictor, and the cloud cover squared predictor, are averaged over the three METAR sites based on a sensitivity study that showed no improvement by including the predictor for each site independently.</w:t>
      </w:r>
      <w:r w:rsidR="00AC3476">
        <w:rPr>
          <w:sz w:val="24"/>
        </w:rPr>
        <w:t xml:space="preserve">  </w:t>
      </w:r>
      <w:r w:rsidRPr="004F4EF6">
        <w:rPr>
          <w:sz w:val="24"/>
        </w:rPr>
        <w:t xml:space="preserve">For the SMUD region, we derive two additional predictors by computing the spatial average and standard deviation of the clearness index at the previous 15-min interval over the remaining sites.  These predictors are computed so as to quantify the regional distribution of cloud cover as measured by the eight solar irradiance observation sites. </w:t>
      </w:r>
      <w:r w:rsidR="00E4352E">
        <w:rPr>
          <w:sz w:val="24"/>
        </w:rPr>
        <w:t xml:space="preserve">These predictors are not computed at BNL because there is </w:t>
      </w:r>
      <w:r w:rsidR="00E4352E">
        <w:rPr>
          <w:sz w:val="24"/>
        </w:rPr>
        <w:lastRenderedPageBreak/>
        <w:t xml:space="preserve">not a regional network of sites </w:t>
      </w:r>
      <w:r w:rsidR="00280411">
        <w:rPr>
          <w:sz w:val="24"/>
        </w:rPr>
        <w:t>such as that operated by</w:t>
      </w:r>
      <w:r w:rsidR="00E4352E">
        <w:rPr>
          <w:sz w:val="24"/>
        </w:rPr>
        <w:t xml:space="preserve"> SMUD</w:t>
      </w:r>
      <w:r w:rsidR="00C3782C">
        <w:rPr>
          <w:sz w:val="24"/>
        </w:rPr>
        <w:t xml:space="preserve">; thus, there </w:t>
      </w:r>
      <w:r w:rsidR="00E4352E">
        <w:rPr>
          <w:sz w:val="24"/>
        </w:rPr>
        <w:t xml:space="preserve">is no additional data </w:t>
      </w:r>
      <w:r w:rsidR="00280411">
        <w:rPr>
          <w:sz w:val="24"/>
        </w:rPr>
        <w:t xml:space="preserve">from which </w:t>
      </w:r>
      <w:r w:rsidR="00E4352E">
        <w:rPr>
          <w:sz w:val="24"/>
        </w:rPr>
        <w:t>to compute these predictors.</w:t>
      </w:r>
    </w:p>
    <w:p w14:paraId="4519D2E4" w14:textId="45F2A021" w:rsidR="00044C92" w:rsidRPr="00306EEB" w:rsidRDefault="00D00713" w:rsidP="000E5190">
      <w:pPr>
        <w:pStyle w:val="Heading1"/>
      </w:pPr>
      <w:bookmarkStart w:id="7" w:name="_Toc304905580"/>
      <w:r>
        <w:t xml:space="preserve">3. </w:t>
      </w:r>
      <w:r w:rsidR="00F9730B">
        <w:t>Process Overview</w:t>
      </w:r>
      <w:bookmarkEnd w:id="7"/>
    </w:p>
    <w:p w14:paraId="2FCF1662" w14:textId="77777777" w:rsidR="00064275" w:rsidRDefault="00044C92" w:rsidP="000E5190">
      <w:pPr>
        <w:jc w:val="both"/>
        <w:rPr>
          <w:sz w:val="24"/>
        </w:rPr>
      </w:pPr>
      <w:r w:rsidRPr="004F4EF6">
        <w:rPr>
          <w:sz w:val="24"/>
        </w:rPr>
        <w:t xml:space="preserve">Our prediction process requires sensitivity studies to determine the best configuration before applying the final prediction models to an independent validation dataset. </w:t>
      </w:r>
      <w:r w:rsidR="00D94BFA">
        <w:rPr>
          <w:sz w:val="24"/>
        </w:rPr>
        <w:t xml:space="preserve"> We predict the clearness index</w:t>
      </w:r>
      <w:r w:rsidR="00064275">
        <w:rPr>
          <w:sz w:val="24"/>
        </w:rPr>
        <w:t>, which is defined in Equation 1,</w:t>
      </w:r>
      <w:r w:rsidR="00D94BFA">
        <w:rPr>
          <w:sz w:val="24"/>
        </w:rPr>
        <w:t xml:space="preserve"> because it quantifies the amount of irradiance attenuated from the maximum possible irradiance expected at the top</w:t>
      </w:r>
      <w:r w:rsidR="000924A4">
        <w:rPr>
          <w:sz w:val="24"/>
        </w:rPr>
        <w:t xml:space="preserve"> of the atmosphere</w:t>
      </w:r>
      <w:r w:rsidR="003D0E1F">
        <w:rPr>
          <w:sz w:val="24"/>
        </w:rPr>
        <w:t>, and thus removes much of the zenith angle dependence so that the ANN can focus on cloud effects</w:t>
      </w:r>
      <w:r w:rsidR="00D94BFA">
        <w:rPr>
          <w:sz w:val="24"/>
        </w:rPr>
        <w:t>.</w:t>
      </w:r>
      <w:r w:rsidRPr="004F4EF6">
        <w:rPr>
          <w:sz w:val="24"/>
        </w:rPr>
        <w:t xml:space="preserve"> </w:t>
      </w:r>
    </w:p>
    <w:p w14:paraId="11A61835" w14:textId="086E4882" w:rsidR="00064275" w:rsidRDefault="00064275" w:rsidP="00064275">
      <w:pPr>
        <w:ind w:firstLine="0"/>
        <w:jc w:val="center"/>
        <w:rPr>
          <w:sz w:val="24"/>
        </w:rPr>
      </w:pPr>
      <m:oMath>
        <m:r>
          <w:rPr>
            <w:rFonts w:ascii="Cambria Math" w:hAnsi="Cambria Math"/>
            <w:sz w:val="24"/>
          </w:rPr>
          <m:t xml:space="preserve">Kt= </m:t>
        </m:r>
        <m:f>
          <m:fPr>
            <m:ctrlPr>
              <w:rPr>
                <w:rFonts w:ascii="Cambria Math" w:hAnsi="Cambria Math"/>
                <w:i/>
                <w:sz w:val="24"/>
              </w:rPr>
            </m:ctrlPr>
          </m:fPr>
          <m:num>
            <m:r>
              <w:rPr>
                <w:rFonts w:ascii="Cambria Math" w:hAnsi="Cambria Math"/>
                <w:sz w:val="24"/>
              </w:rPr>
              <m:t>GHI Observed at the Surface</m:t>
            </m:r>
          </m:num>
          <m:den>
            <m:r>
              <w:rPr>
                <w:rFonts w:ascii="Cambria Math" w:hAnsi="Cambria Math"/>
                <w:sz w:val="24"/>
              </w:rPr>
              <m:t>GHI at the Top of the Atmosphere</m:t>
            </m:r>
          </m:den>
        </m:f>
      </m:oMath>
      <w:r>
        <w:rPr>
          <w:sz w:val="24"/>
        </w:rPr>
        <w:t xml:space="preserve">                      (1)</w:t>
      </w:r>
    </w:p>
    <w:p w14:paraId="77F4DB8A" w14:textId="1CB1F997" w:rsidR="00044C92" w:rsidRPr="004F4EF6" w:rsidRDefault="00044C92" w:rsidP="00064275">
      <w:pPr>
        <w:ind w:firstLine="0"/>
        <w:jc w:val="both"/>
        <w:rPr>
          <w:sz w:val="24"/>
        </w:rPr>
      </w:pPr>
      <w:r w:rsidRPr="004F4EF6">
        <w:rPr>
          <w:sz w:val="24"/>
        </w:rPr>
        <w:t xml:space="preserve">Therefore, we create separate training datasets, sensitivity test datasets and validation datasets, which are labeled Train, Sensitivity Test, and Validation in </w:t>
      </w:r>
      <w:r w:rsidR="00842251" w:rsidRPr="004F4EF6">
        <w:rPr>
          <w:sz w:val="24"/>
        </w:rPr>
        <w:t>Table 1</w:t>
      </w:r>
      <w:r w:rsidR="00F548DC">
        <w:rPr>
          <w:sz w:val="24"/>
        </w:rPr>
        <w:t xml:space="preserve">, which were created by randomly selecting instances. </w:t>
      </w:r>
      <w:r w:rsidRPr="004F4EF6">
        <w:rPr>
          <w:sz w:val="24"/>
        </w:rPr>
        <w:t xml:space="preserve">The validation datasets are used as an independent verification of our final models.  </w:t>
      </w:r>
      <w:r w:rsidR="00AC3476">
        <w:rPr>
          <w:sz w:val="24"/>
        </w:rPr>
        <w:t xml:space="preserve">For the sensitivity studies, we </w:t>
      </w:r>
      <w:r w:rsidR="0082711B">
        <w:rPr>
          <w:sz w:val="24"/>
        </w:rPr>
        <w:t>explore</w:t>
      </w:r>
      <w:r w:rsidR="00AC3476">
        <w:rPr>
          <w:sz w:val="24"/>
        </w:rPr>
        <w:t xml:space="preserve"> the sensitivity of the MAE </w:t>
      </w:r>
      <w:r w:rsidR="0082711B">
        <w:rPr>
          <w:sz w:val="24"/>
        </w:rPr>
        <w:t>to</w:t>
      </w:r>
      <w:r w:rsidR="00AC3476">
        <w:rPr>
          <w:sz w:val="24"/>
        </w:rPr>
        <w:t xml:space="preserve"> the dataset used for tuning the model. </w:t>
      </w:r>
      <w:r w:rsidR="00AC3476" w:rsidRPr="004F4EF6">
        <w:rPr>
          <w:sz w:val="24"/>
        </w:rPr>
        <w:t xml:space="preserve">  </w:t>
      </w:r>
      <w:r w:rsidR="00842251" w:rsidRPr="004F4EF6">
        <w:rPr>
          <w:sz w:val="24"/>
        </w:rPr>
        <w:t>Table 1</w:t>
      </w:r>
      <w:r w:rsidRPr="004F4EF6">
        <w:rPr>
          <w:sz w:val="24"/>
        </w:rPr>
        <w:t xml:space="preserve"> lists the number of instances in each of the datasets for both SMUD and BNL.  The SMUD datasets have substantially more instances because there are eight prediction sites within the SMUD region and there were fewer missing observations compared to the BNL datasets.</w:t>
      </w:r>
    </w:p>
    <w:p w14:paraId="4C11AFE8" w14:textId="2806D349" w:rsidR="00044C92" w:rsidRPr="004F4EF6" w:rsidRDefault="008A67B0" w:rsidP="004F4EF6">
      <w:pPr>
        <w:jc w:val="both"/>
        <w:rPr>
          <w:sz w:val="24"/>
        </w:rPr>
      </w:pPr>
      <w:r>
        <w:rPr>
          <w:sz w:val="24"/>
        </w:rPr>
        <w:t>We wish to develop a “best practices” method for regime dependent statistical forecasting of clearness index. To that end, w</w:t>
      </w:r>
      <w:r w:rsidR="00044C92" w:rsidRPr="004F4EF6">
        <w:rPr>
          <w:sz w:val="24"/>
        </w:rPr>
        <w:t xml:space="preserve">e test multiple regime-dependent prediction methods for solar irradiance prediction given various inputs and predictors; therefore, we </w:t>
      </w:r>
      <w:r w:rsidR="00044C92" w:rsidRPr="004F4EF6">
        <w:rPr>
          <w:sz w:val="24"/>
        </w:rPr>
        <w:lastRenderedPageBreak/>
        <w:t>use a dataflow diagram (</w:t>
      </w:r>
      <w:r w:rsidR="00842251" w:rsidRPr="004F4EF6">
        <w:rPr>
          <w:sz w:val="24"/>
        </w:rPr>
        <w:t>Figure 3</w:t>
      </w:r>
      <w:r w:rsidR="00044C92" w:rsidRPr="004F4EF6">
        <w:rPr>
          <w:sz w:val="24"/>
        </w:rPr>
        <w:t xml:space="preserve">) to describe the relationships between the various techniques. The top tier represents the data sources: irradiance observations, METAR surface weather observations, derived predictors, and satellite data, which are split into two boxes for the measured and the derived variables.  The GOES-East satellite derived variables are included only in the instances that are not defined as clear.  The second tier illustrates this separation into the satellite determined clear instances and satellite determined cloudy instances.  This is the first regime separation in our prediction process.  The third tier of </w:t>
      </w:r>
      <w:r w:rsidR="00842251" w:rsidRPr="004F4EF6">
        <w:rPr>
          <w:sz w:val="24"/>
        </w:rPr>
        <w:t>Figure 3</w:t>
      </w:r>
      <w:r w:rsidR="00044C92" w:rsidRPr="004F4EF6">
        <w:rPr>
          <w:sz w:val="24"/>
        </w:rPr>
        <w:t xml:space="preserve"> describes the prediction methods for all other instances. From left to right, the first prediction technique is the ANN applied on the clear dataset. The next prediction technique is an ANN without additional regime classification.  The final three are the Regime-Dependent ANNs, which are hereafter given the name RD-ANN. The first RD-ANN method is based on regimes determined explicitly from the “cloud type” variable in the GOES-East data, which is labeled RD-ANN-GCT where GCT stands for GOES Cloud Type. The next RD-ANN technique is the k-means cloud regime classification that includes inputs from all of our data sources, which we name RD-ANN-</w:t>
      </w:r>
      <w:proofErr w:type="spellStart"/>
      <w:r w:rsidR="00044C92" w:rsidRPr="004F4EF6">
        <w:rPr>
          <w:sz w:val="24"/>
        </w:rPr>
        <w:t>GKtCC</w:t>
      </w:r>
      <w:proofErr w:type="spellEnd"/>
      <w:r w:rsidR="00044C92" w:rsidRPr="004F4EF6">
        <w:rPr>
          <w:sz w:val="24"/>
        </w:rPr>
        <w:t xml:space="preserve"> because it includes GOES-East data, </w:t>
      </w:r>
      <w:proofErr w:type="spellStart"/>
      <w:r w:rsidR="00044C92" w:rsidRPr="004F4EF6">
        <w:rPr>
          <w:sz w:val="24"/>
        </w:rPr>
        <w:t>Kt</w:t>
      </w:r>
      <w:proofErr w:type="spellEnd"/>
      <w:r w:rsidR="00044C92" w:rsidRPr="004F4EF6">
        <w:rPr>
          <w:sz w:val="24"/>
        </w:rPr>
        <w:t xml:space="preserve"> observations and cloud cover from the METAR observations.  The final prediction technique does not include the satellite measurements and is a direct comparison to previous work (McCandless et al. 2015).  This method is named RD-ANN-</w:t>
      </w:r>
      <w:proofErr w:type="spellStart"/>
      <w:r w:rsidR="00044C92" w:rsidRPr="004F4EF6">
        <w:rPr>
          <w:sz w:val="24"/>
        </w:rPr>
        <w:t>KtCC</w:t>
      </w:r>
      <w:proofErr w:type="spellEnd"/>
      <w:r w:rsidR="00044C92" w:rsidRPr="004F4EF6">
        <w:rPr>
          <w:sz w:val="24"/>
        </w:rPr>
        <w:t xml:space="preserve"> because it includes the </w:t>
      </w:r>
      <w:proofErr w:type="spellStart"/>
      <w:r w:rsidR="00044C92" w:rsidRPr="004F4EF6">
        <w:rPr>
          <w:sz w:val="24"/>
        </w:rPr>
        <w:t>Kt</w:t>
      </w:r>
      <w:proofErr w:type="spellEnd"/>
      <w:r w:rsidR="00044C92" w:rsidRPr="004F4EF6">
        <w:rPr>
          <w:sz w:val="24"/>
        </w:rPr>
        <w:t xml:space="preserve"> observations and the cloud cover.  The fourth tier elements are the final predictions from all of the prediction techniques, including the baseline technique of clearness index persistence.  The validation dataset results from these predictions are shown in the Results Section. </w:t>
      </w:r>
    </w:p>
    <w:p w14:paraId="2CD95333" w14:textId="07F5FA38" w:rsidR="00044C92" w:rsidRPr="000C0C3E" w:rsidRDefault="00D00713" w:rsidP="000E5190">
      <w:pPr>
        <w:pStyle w:val="Heading1"/>
      </w:pPr>
      <w:bookmarkStart w:id="8" w:name="_Toc304905581"/>
      <w:r>
        <w:lastRenderedPageBreak/>
        <w:t xml:space="preserve">4. </w:t>
      </w:r>
      <w:r w:rsidR="000C0C3E">
        <w:t>Prediction Methods</w:t>
      </w:r>
      <w:bookmarkEnd w:id="8"/>
    </w:p>
    <w:p w14:paraId="2859A764" w14:textId="028CDCDC" w:rsidR="00044C92" w:rsidRPr="00306EEB" w:rsidRDefault="00D00713" w:rsidP="000E5190">
      <w:pPr>
        <w:pStyle w:val="Heading2"/>
      </w:pPr>
      <w:bookmarkStart w:id="9" w:name="_Toc304905582"/>
      <w:r>
        <w:t xml:space="preserve">4.1. </w:t>
      </w:r>
      <w:r w:rsidR="00044C92" w:rsidRPr="00306EEB">
        <w:t>Baseline: Clearness Index Persistence</w:t>
      </w:r>
      <w:bookmarkEnd w:id="9"/>
    </w:p>
    <w:p w14:paraId="12777555" w14:textId="0EA94AC7" w:rsidR="00044C92" w:rsidRPr="004F4EF6" w:rsidRDefault="00044C92" w:rsidP="001F3A08">
      <w:pPr>
        <w:jc w:val="both"/>
        <w:rPr>
          <w:sz w:val="24"/>
        </w:rPr>
      </w:pPr>
      <w:r w:rsidRPr="004F4EF6">
        <w:rPr>
          <w:sz w:val="24"/>
        </w:rPr>
        <w:t xml:space="preserve">We use clearness index persistence as our baseline prediction technique for comparison.  Clearness index persistence is commonly referred to as “smart persistence.”  It inherently corrects for changes in solar elevation with time and can be easily converted back to GHI for operations if the clearness index forecast is multiplied by the TOA GHI.  </w:t>
      </w:r>
    </w:p>
    <w:p w14:paraId="0BDCF4BB" w14:textId="2D1B60C0" w:rsidR="00044C92" w:rsidRPr="004F4EF6" w:rsidRDefault="00044C92" w:rsidP="001F3A08">
      <w:pPr>
        <w:jc w:val="both"/>
        <w:rPr>
          <w:sz w:val="24"/>
        </w:rPr>
      </w:pPr>
      <w:r w:rsidRPr="004F4EF6">
        <w:rPr>
          <w:sz w:val="24"/>
        </w:rPr>
        <w:t xml:space="preserve">This baseline technique uses the last available observation of the clearness index (i.e. 15-min average) as the prediction for subsequent times.  For locations with either generally clear conditions or steady cloud cover, this technique is difficult to improve on.  In contrast, when the sky condition is characterized by mixed or variable clouds, the clearness index persistence technique performs poorly.  </w:t>
      </w:r>
    </w:p>
    <w:p w14:paraId="74782380" w14:textId="7101A555" w:rsidR="00044C92" w:rsidRPr="000C0C3E" w:rsidRDefault="00D00713" w:rsidP="000E5190">
      <w:pPr>
        <w:pStyle w:val="Heading2"/>
      </w:pPr>
      <w:bookmarkStart w:id="10" w:name="_Toc304905583"/>
      <w:r>
        <w:t xml:space="preserve">4.2. </w:t>
      </w:r>
      <w:r w:rsidR="00044C92" w:rsidRPr="00306EEB">
        <w:t>Artificial Neural Network</w:t>
      </w:r>
      <w:bookmarkEnd w:id="10"/>
    </w:p>
    <w:p w14:paraId="3FF6D299" w14:textId="4DB014A6" w:rsidR="00044C92" w:rsidRPr="004F4EF6" w:rsidRDefault="00044C92" w:rsidP="001F3A08">
      <w:pPr>
        <w:jc w:val="both"/>
        <w:rPr>
          <w:sz w:val="24"/>
        </w:rPr>
      </w:pPr>
      <w:r w:rsidRPr="004F4EF6">
        <w:rPr>
          <w:sz w:val="24"/>
        </w:rPr>
        <w:t>The ANN is our choice for nonlinear Artificial Intelligence (AI) prediction technique because an ANN</w:t>
      </w:r>
      <w:r w:rsidR="00AE0368">
        <w:rPr>
          <w:sz w:val="24"/>
        </w:rPr>
        <w:t xml:space="preserve"> can model any functional relationship, which may have potentially complex relationships between the predictors and </w:t>
      </w:r>
      <w:proofErr w:type="spellStart"/>
      <w:r w:rsidR="00AE0368">
        <w:rPr>
          <w:sz w:val="24"/>
        </w:rPr>
        <w:t>predictand</w:t>
      </w:r>
      <w:proofErr w:type="spellEnd"/>
      <w:r w:rsidR="00AE0368">
        <w:rPr>
          <w:sz w:val="24"/>
        </w:rPr>
        <w:t>, with proper tuning of the number of hidden layers and neurons</w:t>
      </w:r>
      <w:r w:rsidRPr="004F4EF6">
        <w:rPr>
          <w:sz w:val="24"/>
        </w:rPr>
        <w:t xml:space="preserve">.  ANNs </w:t>
      </w:r>
      <w:r w:rsidR="00AE0368">
        <w:rPr>
          <w:sz w:val="24"/>
        </w:rPr>
        <w:t xml:space="preserve">attempt to </w:t>
      </w:r>
      <w:r w:rsidRPr="004F4EF6">
        <w:rPr>
          <w:sz w:val="24"/>
        </w:rPr>
        <w:t xml:space="preserve">replicate how the human learning process works and when given a </w:t>
      </w:r>
      <w:r w:rsidR="00665F98">
        <w:rPr>
          <w:sz w:val="24"/>
        </w:rPr>
        <w:t xml:space="preserve">sufficiently large </w:t>
      </w:r>
      <w:r w:rsidRPr="004F4EF6">
        <w:rPr>
          <w:sz w:val="24"/>
        </w:rPr>
        <w:t xml:space="preserve">set of training data, ANNs can model complex, i.e. nonlinear, relationships between the predictors and the </w:t>
      </w:r>
      <w:proofErr w:type="spellStart"/>
      <w:r w:rsidRPr="004F4EF6">
        <w:rPr>
          <w:sz w:val="24"/>
        </w:rPr>
        <w:t>predictand</w:t>
      </w:r>
      <w:proofErr w:type="spellEnd"/>
      <w:r w:rsidRPr="004F4EF6">
        <w:rPr>
          <w:sz w:val="24"/>
        </w:rPr>
        <w:t xml:space="preserve"> (Lippmann 1987). The ANN used here is a feed-forward neural network trained by a</w:t>
      </w:r>
      <w:r w:rsidR="006E4D86">
        <w:rPr>
          <w:sz w:val="24"/>
        </w:rPr>
        <w:t xml:space="preserve"> </w:t>
      </w:r>
      <w:r w:rsidRPr="004F4EF6">
        <w:rPr>
          <w:sz w:val="24"/>
        </w:rPr>
        <w:t xml:space="preserve">backpropagation algorithm (Reed 1998), which is commonly referred to as a </w:t>
      </w:r>
      <w:r w:rsidRPr="004F4EF6">
        <w:rPr>
          <w:sz w:val="24"/>
        </w:rPr>
        <w:lastRenderedPageBreak/>
        <w:t xml:space="preserve">multi-layer perceptron (Rosenblatt 1958).  The specific neural network module used in this study is the </w:t>
      </w:r>
      <w:proofErr w:type="spellStart"/>
      <w:r w:rsidRPr="004F4EF6">
        <w:rPr>
          <w:sz w:val="24"/>
        </w:rPr>
        <w:t>newff</w:t>
      </w:r>
      <w:proofErr w:type="spellEnd"/>
      <w:r w:rsidRPr="004F4EF6">
        <w:rPr>
          <w:sz w:val="24"/>
        </w:rPr>
        <w:t xml:space="preserve"> model in the </w:t>
      </w:r>
      <w:proofErr w:type="spellStart"/>
      <w:r w:rsidRPr="004F4EF6">
        <w:rPr>
          <w:sz w:val="24"/>
        </w:rPr>
        <w:t>Neurolab</w:t>
      </w:r>
      <w:proofErr w:type="spellEnd"/>
      <w:r w:rsidRPr="004F4EF6">
        <w:rPr>
          <w:sz w:val="24"/>
        </w:rPr>
        <w:t xml:space="preserve"> python library (</w:t>
      </w:r>
      <w:hyperlink r:id="rId22" w:history="1">
        <w:r w:rsidR="00121514" w:rsidRPr="00E54560">
          <w:rPr>
            <w:rStyle w:val="Hyperlink"/>
            <w:sz w:val="24"/>
          </w:rPr>
          <w:t>https://pythonhosted.org/neurolab/</w:t>
        </w:r>
      </w:hyperlink>
      <w:r w:rsidR="00722054">
        <w:rPr>
          <w:sz w:val="24"/>
        </w:rPr>
        <w:t xml:space="preserve">, </w:t>
      </w:r>
      <w:proofErr w:type="spellStart"/>
      <w:r w:rsidR="00722054">
        <w:rPr>
          <w:sz w:val="24"/>
        </w:rPr>
        <w:t>Rosello</w:t>
      </w:r>
      <w:proofErr w:type="spellEnd"/>
      <w:r w:rsidR="00722054">
        <w:rPr>
          <w:sz w:val="24"/>
        </w:rPr>
        <w:t xml:space="preserve"> et al 2003</w:t>
      </w:r>
      <w:r w:rsidRPr="004F4EF6">
        <w:rPr>
          <w:sz w:val="24"/>
        </w:rPr>
        <w:t>)</w:t>
      </w:r>
      <w:r w:rsidR="00121514">
        <w:rPr>
          <w:sz w:val="24"/>
        </w:rPr>
        <w:t xml:space="preserve"> trained with a resilient backpropagation algorithm</w:t>
      </w:r>
      <w:r w:rsidRPr="004F4EF6">
        <w:rPr>
          <w:sz w:val="24"/>
        </w:rPr>
        <w:t xml:space="preserve">.  The ANN used here has three layers: the input layer that consists of the predictors, the hidden layer that consists of tunable neurons, and the output layer that </w:t>
      </w:r>
      <w:r w:rsidR="00027619">
        <w:rPr>
          <w:sz w:val="24"/>
        </w:rPr>
        <w:t>computes</w:t>
      </w:r>
      <w:r w:rsidRPr="004F4EF6">
        <w:rPr>
          <w:sz w:val="24"/>
        </w:rPr>
        <w:t xml:space="preserve"> the </w:t>
      </w:r>
      <w:r w:rsidR="00027619">
        <w:rPr>
          <w:sz w:val="24"/>
        </w:rPr>
        <w:t xml:space="preserve">final </w:t>
      </w:r>
      <w:r w:rsidRPr="004F4EF6">
        <w:rPr>
          <w:sz w:val="24"/>
        </w:rPr>
        <w:t xml:space="preserve">prediction.  The actual processing is done by the neurons in the hidden layer, each of which is a linear regression post-processed by a sigmoid function so that all outputs are on a common finite scale.  These neuron outputs are then merged by a final linear regression neuron to yield the ANN’s forecast. Each predictor of the input layer is connected to all neurons within the hidden layer, but the iterative training results in special weights for each neuron that together </w:t>
      </w:r>
      <w:r w:rsidR="00444BD8">
        <w:rPr>
          <w:sz w:val="24"/>
        </w:rPr>
        <w:t>address</w:t>
      </w:r>
      <w:r w:rsidRPr="004F4EF6">
        <w:rPr>
          <w:sz w:val="24"/>
        </w:rPr>
        <w:t xml:space="preserve"> the different aspects of the problem.  </w:t>
      </w:r>
    </w:p>
    <w:p w14:paraId="7AFA0894" w14:textId="4F3EC960" w:rsidR="00044C92" w:rsidRPr="004F4EF6" w:rsidRDefault="001165D2" w:rsidP="001F3A08">
      <w:pPr>
        <w:jc w:val="both"/>
        <w:rPr>
          <w:sz w:val="24"/>
        </w:rPr>
      </w:pPr>
      <w:r>
        <w:rPr>
          <w:sz w:val="24"/>
        </w:rPr>
        <w:t>V</w:t>
      </w:r>
      <w:r w:rsidR="00044C92" w:rsidRPr="004F4EF6">
        <w:rPr>
          <w:sz w:val="24"/>
        </w:rPr>
        <w:t xml:space="preserve">arying the number of neurons in the hidden layer changes the complexity of the model.  As more neurons are added, more complex nonlinear relationships between the predictors and the </w:t>
      </w:r>
      <w:proofErr w:type="spellStart"/>
      <w:r w:rsidR="00044C92" w:rsidRPr="004F4EF6">
        <w:rPr>
          <w:sz w:val="24"/>
        </w:rPr>
        <w:t>predictand</w:t>
      </w:r>
      <w:proofErr w:type="spellEnd"/>
      <w:r w:rsidR="00044C92" w:rsidRPr="004F4EF6">
        <w:rPr>
          <w:sz w:val="24"/>
        </w:rPr>
        <w:t xml:space="preserve"> can be modeled.  </w:t>
      </w:r>
      <w:r>
        <w:rPr>
          <w:sz w:val="24"/>
        </w:rPr>
        <w:t>This increase in complexity</w:t>
      </w:r>
      <w:r w:rsidR="00044C92" w:rsidRPr="004F4EF6">
        <w:rPr>
          <w:sz w:val="24"/>
        </w:rPr>
        <w:t xml:space="preserve">, however, </w:t>
      </w:r>
      <w:r>
        <w:rPr>
          <w:sz w:val="24"/>
        </w:rPr>
        <w:t xml:space="preserve">increases </w:t>
      </w:r>
      <w:r w:rsidR="00044C92" w:rsidRPr="004F4EF6">
        <w:rPr>
          <w:sz w:val="24"/>
        </w:rPr>
        <w:t xml:space="preserve">the risk of overfitting the training data and decreasing the performance of the model on the independent data increases.  </w:t>
      </w:r>
      <w:r>
        <w:rPr>
          <w:sz w:val="24"/>
        </w:rPr>
        <w:t>Mo</w:t>
      </w:r>
      <w:r w:rsidR="0087398F">
        <w:rPr>
          <w:sz w:val="24"/>
        </w:rPr>
        <w:t>r</w:t>
      </w:r>
      <w:r>
        <w:rPr>
          <w:sz w:val="24"/>
        </w:rPr>
        <w:t>eover</w:t>
      </w:r>
      <w:r w:rsidR="00044C92" w:rsidRPr="004F4EF6">
        <w:rPr>
          <w:sz w:val="24"/>
        </w:rPr>
        <w:t xml:space="preserve">, as the number of training epochs (i.e. iterations) is increased, </w:t>
      </w:r>
      <w:r>
        <w:rPr>
          <w:sz w:val="24"/>
        </w:rPr>
        <w:t>an overly complex</w:t>
      </w:r>
      <w:r w:rsidR="0087398F">
        <w:rPr>
          <w:sz w:val="24"/>
        </w:rPr>
        <w:t xml:space="preserve"> </w:t>
      </w:r>
      <w:r w:rsidR="00044C92" w:rsidRPr="004F4EF6">
        <w:rPr>
          <w:sz w:val="24"/>
        </w:rPr>
        <w:t xml:space="preserve">ANN may begin to tune to the random noise in the training data as well as to the real relationships.  Therefore, both the number of neurons of the hidden layer and the number of training epochs determine the ANN’s fit to the training </w:t>
      </w:r>
      <w:r>
        <w:rPr>
          <w:sz w:val="24"/>
        </w:rPr>
        <w:t xml:space="preserve">and independent </w:t>
      </w:r>
      <w:r w:rsidR="00044C92" w:rsidRPr="004F4EF6">
        <w:rPr>
          <w:sz w:val="24"/>
        </w:rPr>
        <w:t xml:space="preserve">data.  The goal of configuring the ANN is to find the best level of complexity, i.e. the number of hidden layer neurons, and the number of training epochs that model the true relationships in the training data and thus yield the lowest </w:t>
      </w:r>
      <w:r w:rsidR="00044C92" w:rsidRPr="004F4EF6">
        <w:rPr>
          <w:sz w:val="24"/>
        </w:rPr>
        <w:lastRenderedPageBreak/>
        <w:t xml:space="preserve">error on independent data.  </w:t>
      </w:r>
      <w:r w:rsidR="006E4D86">
        <w:rPr>
          <w:sz w:val="24"/>
        </w:rPr>
        <w:t>The Mean Squared Error (MSE) was the score that was minimized in the training of the algorithm</w:t>
      </w:r>
      <w:r w:rsidR="00121514">
        <w:rPr>
          <w:sz w:val="24"/>
        </w:rPr>
        <w:t xml:space="preserve">.  </w:t>
      </w:r>
      <w:r w:rsidR="00044C92" w:rsidRPr="004F4EF6">
        <w:rPr>
          <w:sz w:val="24"/>
        </w:rPr>
        <w:t xml:space="preserve">We held the learning rate (0.01) and weight decay (0.5) constant as sensitivity studies (not shown) found these values to be best. </w:t>
      </w:r>
    </w:p>
    <w:p w14:paraId="4A282792" w14:textId="2466C538" w:rsidR="00044C92" w:rsidRPr="004F4EF6" w:rsidRDefault="00044C92" w:rsidP="000E5190">
      <w:pPr>
        <w:jc w:val="both"/>
        <w:rPr>
          <w:sz w:val="24"/>
        </w:rPr>
      </w:pPr>
      <w:r w:rsidRPr="004F4EF6">
        <w:rPr>
          <w:sz w:val="24"/>
        </w:rPr>
        <w:t xml:space="preserve">We have a total of 42 predictors for the SMUD sites, which includes data from SMUD irradiance observation sites, METAR weather observation sites, GOES-East satellite data, and several derived predictors.  A list of all predictors for the ANN is provided in </w:t>
      </w:r>
      <w:r w:rsidR="00842251" w:rsidRPr="004F4EF6">
        <w:rPr>
          <w:sz w:val="24"/>
        </w:rPr>
        <w:t>Table 2</w:t>
      </w:r>
      <w:r w:rsidRPr="004F4EF6">
        <w:rPr>
          <w:sz w:val="24"/>
        </w:rPr>
        <w:t>.  For the BNL locations, the predictors, “</w:t>
      </w:r>
      <w:proofErr w:type="spellStart"/>
      <w:r w:rsidRPr="004F4EF6">
        <w:rPr>
          <w:sz w:val="24"/>
        </w:rPr>
        <w:t>Kt</w:t>
      </w:r>
      <w:proofErr w:type="spellEnd"/>
      <w:r w:rsidRPr="004F4EF6">
        <w:rPr>
          <w:sz w:val="24"/>
        </w:rPr>
        <w:t xml:space="preserve"> Nearby Mean” and “</w:t>
      </w:r>
      <w:proofErr w:type="spellStart"/>
      <w:r w:rsidRPr="004F4EF6">
        <w:rPr>
          <w:sz w:val="24"/>
        </w:rPr>
        <w:t>Kt</w:t>
      </w:r>
      <w:proofErr w:type="spellEnd"/>
      <w:r w:rsidRPr="004F4EF6">
        <w:rPr>
          <w:sz w:val="24"/>
        </w:rPr>
        <w:t xml:space="preserve"> Nearby Variability (</w:t>
      </w:r>
      <w:proofErr w:type="spellStart"/>
      <w:r w:rsidRPr="004F4EF6">
        <w:rPr>
          <w:sz w:val="24"/>
        </w:rPr>
        <w:t>Stdev</w:t>
      </w:r>
      <w:proofErr w:type="spellEnd"/>
      <w:r w:rsidRPr="004F4EF6">
        <w:rPr>
          <w:sz w:val="24"/>
        </w:rPr>
        <w:t xml:space="preserve">)” are not available because, unlike SMUD, the BNL data come from a single location. </w:t>
      </w:r>
    </w:p>
    <w:p w14:paraId="06537687" w14:textId="67309DAC" w:rsidR="00044C92" w:rsidRPr="000C0C3E" w:rsidRDefault="00D00713" w:rsidP="000E5190">
      <w:pPr>
        <w:pStyle w:val="Heading2"/>
      </w:pPr>
      <w:bookmarkStart w:id="11" w:name="_Toc304905584"/>
      <w:r>
        <w:t xml:space="preserve">4.3. </w:t>
      </w:r>
      <w:r w:rsidR="00044C92" w:rsidRPr="00306EEB">
        <w:t>Regime-Dependent Artificial Neural Network</w:t>
      </w:r>
      <w:bookmarkEnd w:id="11"/>
    </w:p>
    <w:p w14:paraId="4AF6DB5B" w14:textId="7A1F3381" w:rsidR="00044C92" w:rsidRPr="004F4EF6" w:rsidRDefault="00044C92" w:rsidP="001F3A08">
      <w:pPr>
        <w:jc w:val="both"/>
        <w:rPr>
          <w:sz w:val="24"/>
        </w:rPr>
      </w:pPr>
      <w:r w:rsidRPr="004F4EF6">
        <w:rPr>
          <w:sz w:val="24"/>
        </w:rPr>
        <w:t xml:space="preserve">The ultimate goal of the ANN is to find the true relationship between the predictors and the </w:t>
      </w:r>
      <w:proofErr w:type="spellStart"/>
      <w:r w:rsidRPr="004F4EF6">
        <w:rPr>
          <w:sz w:val="24"/>
        </w:rPr>
        <w:t>predictand</w:t>
      </w:r>
      <w:proofErr w:type="spellEnd"/>
      <w:r w:rsidRPr="004F4EF6">
        <w:rPr>
          <w:sz w:val="24"/>
        </w:rPr>
        <w:t>; therefore, we partition the dataset into cloud regime subsets in order to allow the ANN to find the simpler relationships applicable to each cloud regime rather than having to model both these relationships and regime identification with a single complex network.  In order to improve the deterministic forecast, the regime identification technique must split regimes with different underlying forecast problems, each with different physical</w:t>
      </w:r>
      <w:r w:rsidR="00FD1B16">
        <w:rPr>
          <w:sz w:val="24"/>
        </w:rPr>
        <w:t>,</w:t>
      </w:r>
      <w:r w:rsidRPr="004F4EF6">
        <w:rPr>
          <w:sz w:val="24"/>
        </w:rPr>
        <w:t xml:space="preserve"> and thus, statistical relationships between predictors and </w:t>
      </w:r>
      <w:proofErr w:type="spellStart"/>
      <w:r w:rsidRPr="004F4EF6">
        <w:rPr>
          <w:sz w:val="24"/>
        </w:rPr>
        <w:t>predictand</w:t>
      </w:r>
      <w:proofErr w:type="spellEnd"/>
      <w:r w:rsidRPr="004F4EF6">
        <w:rPr>
          <w:sz w:val="24"/>
        </w:rPr>
        <w:t xml:space="preserve">.  </w:t>
      </w:r>
      <w:r w:rsidR="00FD1B16" w:rsidRPr="004F4EF6">
        <w:rPr>
          <w:sz w:val="24"/>
        </w:rPr>
        <w:t>Th</w:t>
      </w:r>
      <w:r w:rsidR="00FD1B16">
        <w:rPr>
          <w:sz w:val="24"/>
        </w:rPr>
        <w:t>erefore</w:t>
      </w:r>
      <w:r w:rsidRPr="004F4EF6">
        <w:rPr>
          <w:sz w:val="24"/>
        </w:rPr>
        <w:t xml:space="preserve">, the regime classification method must capture differences that are directly related to short term irradiance forecasting, given the predictors available.  </w:t>
      </w:r>
    </w:p>
    <w:p w14:paraId="776C2A6B" w14:textId="290F835B"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lastRenderedPageBreak/>
        <w:t>The three methods we use to classify regimes before applying the ANNs to each subset separately are discussed in detail in section 5.  Two regime-identification methods, which are named after the input data, RD-ANN-</w:t>
      </w:r>
      <w:proofErr w:type="spellStart"/>
      <w:r w:rsidRPr="004F4EF6">
        <w:rPr>
          <w:rFonts w:ascii="Times New Roman" w:hAnsi="Times New Roman"/>
        </w:rPr>
        <w:t>KtCC</w:t>
      </w:r>
      <w:proofErr w:type="spellEnd"/>
      <w:r w:rsidRPr="004F4EF6">
        <w:rPr>
          <w:rFonts w:ascii="Times New Roman" w:hAnsi="Times New Roman"/>
        </w:rPr>
        <w:t xml:space="preserve"> and RD-ANN-</w:t>
      </w:r>
      <w:proofErr w:type="spellStart"/>
      <w:r w:rsidRPr="004F4EF6">
        <w:rPr>
          <w:rFonts w:ascii="Times New Roman" w:hAnsi="Times New Roman"/>
        </w:rPr>
        <w:t>GKtCC</w:t>
      </w:r>
      <w:proofErr w:type="spellEnd"/>
      <w:r w:rsidRPr="004F4EF6">
        <w:rPr>
          <w:rFonts w:ascii="Times New Roman" w:hAnsi="Times New Roman"/>
        </w:rPr>
        <w:t>, use a k-means clustering algorithm.  The k-means clustering algorithm is e</w:t>
      </w:r>
      <w:r w:rsidR="00D435D5" w:rsidRPr="004F4EF6">
        <w:rPr>
          <w:rFonts w:ascii="Times New Roman" w:hAnsi="Times New Roman"/>
        </w:rPr>
        <w:t xml:space="preserve">xplained in detail in </w:t>
      </w:r>
      <w:r w:rsidR="0087398F">
        <w:rPr>
          <w:rFonts w:ascii="Times New Roman" w:hAnsi="Times New Roman"/>
        </w:rPr>
        <w:t>McCandless et al (2015)</w:t>
      </w:r>
      <w:r w:rsidRPr="004F4EF6">
        <w:rPr>
          <w:rFonts w:ascii="Times New Roman" w:hAnsi="Times New Roman"/>
        </w:rPr>
        <w:t>.  For the RD-ANN-</w:t>
      </w:r>
      <w:proofErr w:type="spellStart"/>
      <w:r w:rsidRPr="004F4EF6">
        <w:rPr>
          <w:rFonts w:ascii="Times New Roman" w:hAnsi="Times New Roman"/>
        </w:rPr>
        <w:t>KtCC</w:t>
      </w:r>
      <w:proofErr w:type="spellEnd"/>
      <w:r w:rsidRPr="004F4EF6">
        <w:rPr>
          <w:rFonts w:ascii="Times New Roman" w:hAnsi="Times New Roman"/>
        </w:rPr>
        <w:t xml:space="preserve"> method described in section 5.1, the inputs to the k-means clustering algorithm are the past irradiance (converted to </w:t>
      </w:r>
      <w:proofErr w:type="spellStart"/>
      <w:r w:rsidRPr="004F4EF6">
        <w:rPr>
          <w:rFonts w:ascii="Times New Roman" w:hAnsi="Times New Roman"/>
        </w:rPr>
        <w:t>Kt</w:t>
      </w:r>
      <w:proofErr w:type="spellEnd"/>
      <w:r w:rsidRPr="004F4EF6">
        <w:rPr>
          <w:rFonts w:ascii="Times New Roman" w:hAnsi="Times New Roman"/>
        </w:rPr>
        <w:t>) observations and cloud cover observations from the METAR data.  This method is tested to determine the predictive skill of an RD-ANN method using only surface observations. For the RD-ANN-</w:t>
      </w:r>
      <w:proofErr w:type="spellStart"/>
      <w:r w:rsidRPr="004F4EF6">
        <w:rPr>
          <w:rFonts w:ascii="Times New Roman" w:hAnsi="Times New Roman"/>
        </w:rPr>
        <w:t>GKtCC</w:t>
      </w:r>
      <w:proofErr w:type="spellEnd"/>
      <w:r w:rsidRPr="004F4EF6">
        <w:rPr>
          <w:rFonts w:ascii="Times New Roman" w:hAnsi="Times New Roman"/>
        </w:rPr>
        <w:t xml:space="preserve"> method described in section 5.2, the inputs to the k-means clustering algorithm are the past irradiance (converted to </w:t>
      </w:r>
      <w:proofErr w:type="spellStart"/>
      <w:r w:rsidRPr="004F4EF6">
        <w:rPr>
          <w:rFonts w:ascii="Times New Roman" w:hAnsi="Times New Roman"/>
        </w:rPr>
        <w:t>Kt</w:t>
      </w:r>
      <w:proofErr w:type="spellEnd"/>
      <w:r w:rsidRPr="004F4EF6">
        <w:rPr>
          <w:rFonts w:ascii="Times New Roman" w:hAnsi="Times New Roman"/>
        </w:rPr>
        <w:t xml:space="preserve">) observations, cloud cover observations from the METAR data and variables from the GOES-East data. This method is tested to determine the predictive skill of an RD-ANN method using both surface observations and satellite data.  In contrast, the RD-ANN-GCT method, explained in section 5.3, does not use the k-means algorithm to classify regimes, but rather uses the derived “cloud type” variable in the GOES-East data to separate regimes.  This test will determine if off-the-shelf cloud typing can compete with mission specific cloud regime typing in solar forecasting.  </w:t>
      </w:r>
    </w:p>
    <w:p w14:paraId="36CD21A6" w14:textId="4F1DC0B3" w:rsidR="00044C92" w:rsidRPr="000C0C3E" w:rsidRDefault="00D00713" w:rsidP="000E5190">
      <w:pPr>
        <w:pStyle w:val="Heading1"/>
      </w:pPr>
      <w:bookmarkStart w:id="12" w:name="_Toc304905585"/>
      <w:r>
        <w:lastRenderedPageBreak/>
        <w:t xml:space="preserve">5. </w:t>
      </w:r>
      <w:r w:rsidR="00044C92" w:rsidRPr="00306EEB">
        <w:t>R</w:t>
      </w:r>
      <w:r w:rsidR="000C0C3E">
        <w:t>egime-Dependent ANN Configuration</w:t>
      </w:r>
      <w:bookmarkEnd w:id="12"/>
    </w:p>
    <w:p w14:paraId="7690BFC2" w14:textId="43767E7A" w:rsidR="00044C92" w:rsidRPr="00306EEB" w:rsidRDefault="00D00713" w:rsidP="000E5190">
      <w:pPr>
        <w:pStyle w:val="Heading2"/>
      </w:pPr>
      <w:bookmarkStart w:id="13" w:name="_Toc304905586"/>
      <w:r>
        <w:t xml:space="preserve">5.1. </w:t>
      </w:r>
      <w:r w:rsidR="00044C92" w:rsidRPr="00306EEB">
        <w:t>RD-ANN-</w:t>
      </w:r>
      <w:proofErr w:type="spellStart"/>
      <w:r w:rsidR="00044C92" w:rsidRPr="00306EEB">
        <w:t>KtCC</w:t>
      </w:r>
      <w:bookmarkEnd w:id="13"/>
      <w:proofErr w:type="spellEnd"/>
    </w:p>
    <w:p w14:paraId="2BE73B6D" w14:textId="26F17F6C" w:rsidR="00044C92" w:rsidRPr="004F4EF6" w:rsidRDefault="00044C92" w:rsidP="001F3A08">
      <w:pPr>
        <w:pStyle w:val="ColorfulList-Accent11"/>
        <w:spacing w:line="480" w:lineRule="auto"/>
        <w:ind w:left="0"/>
        <w:jc w:val="both"/>
        <w:rPr>
          <w:rFonts w:ascii="Times New Roman" w:hAnsi="Times New Roman"/>
        </w:rPr>
      </w:pPr>
      <w:r w:rsidRPr="00306EEB">
        <w:rPr>
          <w:rFonts w:ascii="Times New Roman" w:hAnsi="Times New Roman"/>
          <w:sz w:val="22"/>
          <w:szCs w:val="22"/>
        </w:rPr>
        <w:tab/>
      </w:r>
      <w:r w:rsidRPr="004F4EF6">
        <w:rPr>
          <w:rFonts w:ascii="Times New Roman" w:hAnsi="Times New Roman"/>
        </w:rPr>
        <w:t xml:space="preserve">The first regime-dependent method tested uses the original configuration of the regime-dependent ANN of McCandless et al. </w:t>
      </w:r>
      <w:r w:rsidR="008F6A5B">
        <w:rPr>
          <w:rFonts w:ascii="Times New Roman" w:hAnsi="Times New Roman"/>
        </w:rPr>
        <w:t>(</w:t>
      </w:r>
      <w:r w:rsidRPr="004F4EF6">
        <w:rPr>
          <w:rFonts w:ascii="Times New Roman" w:hAnsi="Times New Roman"/>
        </w:rPr>
        <w:t>2015), hereafter referred to as RD-ANN-</w:t>
      </w:r>
      <w:proofErr w:type="spellStart"/>
      <w:r w:rsidRPr="004F4EF6">
        <w:rPr>
          <w:rFonts w:ascii="Times New Roman" w:hAnsi="Times New Roman"/>
        </w:rPr>
        <w:t>KtCC</w:t>
      </w:r>
      <w:proofErr w:type="spellEnd"/>
      <w:r w:rsidRPr="004F4EF6">
        <w:rPr>
          <w:rFonts w:ascii="Times New Roman" w:hAnsi="Times New Roman"/>
        </w:rPr>
        <w:t xml:space="preserve">.  This technique does not include any GOES-East data as either inputs to the k-means regime classification or as predictors for the ANN.  Sensitivity studies in McCandless et al. (2015), showed that the best inputs to the k-means clustering algorithm </w:t>
      </w:r>
      <w:r w:rsidR="008F6A5B">
        <w:rPr>
          <w:rFonts w:ascii="Times New Roman" w:hAnsi="Times New Roman"/>
        </w:rPr>
        <w:t>a</w:t>
      </w:r>
      <w:r w:rsidR="008F6A5B" w:rsidRPr="004F4EF6">
        <w:rPr>
          <w:rFonts w:ascii="Times New Roman" w:hAnsi="Times New Roman"/>
        </w:rPr>
        <w:t xml:space="preserve">re </w:t>
      </w:r>
      <w:r w:rsidRPr="004F4EF6">
        <w:rPr>
          <w:rFonts w:ascii="Times New Roman" w:hAnsi="Times New Roman"/>
        </w:rPr>
        <w:t xml:space="preserve">the following: </w:t>
      </w:r>
      <w:proofErr w:type="spellStart"/>
      <w:r w:rsidRPr="004F4EF6">
        <w:rPr>
          <w:rFonts w:ascii="Times New Roman" w:hAnsi="Times New Roman"/>
        </w:rPr>
        <w:t>Kt</w:t>
      </w:r>
      <w:proofErr w:type="spellEnd"/>
      <w:r w:rsidRPr="004F4EF6">
        <w:rPr>
          <w:rFonts w:ascii="Times New Roman" w:hAnsi="Times New Roman"/>
        </w:rPr>
        <w:t xml:space="preserve"> average in the previous 15-min, nearby </w:t>
      </w:r>
      <w:proofErr w:type="spellStart"/>
      <w:r w:rsidRPr="004F4EF6">
        <w:rPr>
          <w:rFonts w:ascii="Times New Roman" w:hAnsi="Times New Roman"/>
        </w:rPr>
        <w:t>Kt</w:t>
      </w:r>
      <w:proofErr w:type="spellEnd"/>
      <w:r w:rsidRPr="004F4EF6">
        <w:rPr>
          <w:rFonts w:ascii="Times New Roman" w:hAnsi="Times New Roman"/>
        </w:rPr>
        <w:t xml:space="preserve"> in the previous 15-min, standard deviation of the </w:t>
      </w:r>
      <w:proofErr w:type="spellStart"/>
      <w:r w:rsidRPr="004F4EF6">
        <w:rPr>
          <w:rFonts w:ascii="Times New Roman" w:hAnsi="Times New Roman"/>
        </w:rPr>
        <w:t>Kt</w:t>
      </w:r>
      <w:proofErr w:type="spellEnd"/>
      <w:r w:rsidRPr="004F4EF6">
        <w:rPr>
          <w:rFonts w:ascii="Times New Roman" w:hAnsi="Times New Roman"/>
        </w:rPr>
        <w:t xml:space="preserve"> in the previous 15-min among the nearby sites, the most recent change in the </w:t>
      </w:r>
      <w:proofErr w:type="spellStart"/>
      <w:r w:rsidRPr="004F4EF6">
        <w:rPr>
          <w:rFonts w:ascii="Times New Roman" w:hAnsi="Times New Roman"/>
        </w:rPr>
        <w:t>Kt</w:t>
      </w:r>
      <w:proofErr w:type="spellEnd"/>
      <w:r w:rsidRPr="004F4EF6">
        <w:rPr>
          <w:rFonts w:ascii="Times New Roman" w:hAnsi="Times New Roman"/>
        </w:rPr>
        <w:t xml:space="preserve"> (</w:t>
      </w:r>
      <w:proofErr w:type="spellStart"/>
      <w:r w:rsidRPr="004F4EF6">
        <w:rPr>
          <w:rFonts w:ascii="Times New Roman" w:hAnsi="Times New Roman"/>
        </w:rPr>
        <w:t>Kt</w:t>
      </w:r>
      <w:proofErr w:type="spellEnd"/>
      <w:r w:rsidRPr="004F4EF6">
        <w:rPr>
          <w:rFonts w:ascii="Times New Roman" w:hAnsi="Times New Roman"/>
        </w:rPr>
        <w:t xml:space="preserve"> previous 15-min – </w:t>
      </w:r>
      <w:proofErr w:type="spellStart"/>
      <w:r w:rsidRPr="004F4EF6">
        <w:rPr>
          <w:rFonts w:ascii="Times New Roman" w:hAnsi="Times New Roman"/>
        </w:rPr>
        <w:t>Kt</w:t>
      </w:r>
      <w:proofErr w:type="spellEnd"/>
      <w:r w:rsidRPr="004F4EF6">
        <w:rPr>
          <w:rFonts w:ascii="Times New Roman" w:hAnsi="Times New Roman"/>
        </w:rPr>
        <w:t xml:space="preserve"> previous 30-min), the slope of the </w:t>
      </w:r>
      <w:proofErr w:type="spellStart"/>
      <w:r w:rsidRPr="004F4EF6">
        <w:rPr>
          <w:rFonts w:ascii="Times New Roman" w:hAnsi="Times New Roman"/>
        </w:rPr>
        <w:t>Kt</w:t>
      </w:r>
      <w:proofErr w:type="spellEnd"/>
      <w:r w:rsidRPr="004F4EF6">
        <w:rPr>
          <w:rFonts w:ascii="Times New Roman" w:hAnsi="Times New Roman"/>
        </w:rPr>
        <w:t xml:space="preserve"> in the past hour, the standard deviation of the </w:t>
      </w:r>
      <w:proofErr w:type="spellStart"/>
      <w:r w:rsidRPr="004F4EF6">
        <w:rPr>
          <w:rFonts w:ascii="Times New Roman" w:hAnsi="Times New Roman"/>
        </w:rPr>
        <w:t>Kt</w:t>
      </w:r>
      <w:proofErr w:type="spellEnd"/>
      <w:r w:rsidRPr="004F4EF6">
        <w:rPr>
          <w:rFonts w:ascii="Times New Roman" w:hAnsi="Times New Roman"/>
        </w:rPr>
        <w:t xml:space="preserve"> over the previous hour, and standard deviation of the cloud cover.  Because there are seven inputs into the k-means algorithm, there are therefore seven dimensions in the phase space of the k-means distance computation.  These seven inputs provide the k-means algorithm with information that capture</w:t>
      </w:r>
      <w:r w:rsidR="00D26698">
        <w:rPr>
          <w:rFonts w:ascii="Times New Roman" w:hAnsi="Times New Roman"/>
        </w:rPr>
        <w:t>s</w:t>
      </w:r>
      <w:r w:rsidRPr="004F4EF6">
        <w:rPr>
          <w:rFonts w:ascii="Times New Roman" w:hAnsi="Times New Roman"/>
        </w:rPr>
        <w:t xml:space="preserve"> the meteorological state based on surface observations.  Sensitivity studies indicate that the number of regimes, k, was also seven</w:t>
      </w:r>
      <w:r w:rsidR="00B96EC4">
        <w:rPr>
          <w:rFonts w:ascii="Times New Roman" w:hAnsi="Times New Roman"/>
        </w:rPr>
        <w:t>, that produced the lowest error on the sensitivity test dataset</w:t>
      </w:r>
      <w:r w:rsidRPr="004F4EF6">
        <w:rPr>
          <w:rFonts w:ascii="Times New Roman" w:hAnsi="Times New Roman"/>
        </w:rPr>
        <w:t>.  For the BNL site, only a single irradiance observation site was available; therefore, the RD-ANN-</w:t>
      </w:r>
      <w:proofErr w:type="spellStart"/>
      <w:r w:rsidRPr="004F4EF6">
        <w:rPr>
          <w:rFonts w:ascii="Times New Roman" w:hAnsi="Times New Roman"/>
        </w:rPr>
        <w:t>KtCC</w:t>
      </w:r>
      <w:proofErr w:type="spellEnd"/>
      <w:r w:rsidRPr="004F4EF6">
        <w:rPr>
          <w:rFonts w:ascii="Times New Roman" w:hAnsi="Times New Roman"/>
        </w:rPr>
        <w:t xml:space="preserve"> method does not include either the nearby </w:t>
      </w:r>
      <w:proofErr w:type="spellStart"/>
      <w:r w:rsidRPr="004F4EF6">
        <w:rPr>
          <w:rFonts w:ascii="Times New Roman" w:hAnsi="Times New Roman"/>
        </w:rPr>
        <w:t>Kt</w:t>
      </w:r>
      <w:proofErr w:type="spellEnd"/>
      <w:r w:rsidRPr="004F4EF6">
        <w:rPr>
          <w:rFonts w:ascii="Times New Roman" w:hAnsi="Times New Roman"/>
        </w:rPr>
        <w:t xml:space="preserve"> in the previous 15-min or the standard deviation of the </w:t>
      </w:r>
      <w:proofErr w:type="spellStart"/>
      <w:r w:rsidRPr="004F4EF6">
        <w:rPr>
          <w:rFonts w:ascii="Times New Roman" w:hAnsi="Times New Roman"/>
        </w:rPr>
        <w:t>Kt</w:t>
      </w:r>
      <w:proofErr w:type="spellEnd"/>
      <w:r w:rsidRPr="004F4EF6">
        <w:rPr>
          <w:rFonts w:ascii="Times New Roman" w:hAnsi="Times New Roman"/>
        </w:rPr>
        <w:t xml:space="preserve"> in the previous 15-min among the nearby sites.</w:t>
      </w:r>
    </w:p>
    <w:p w14:paraId="60DF9E83" w14:textId="33DED3EE" w:rsidR="00044C92" w:rsidRPr="00306EEB" w:rsidRDefault="00D00713" w:rsidP="000E5190">
      <w:pPr>
        <w:pStyle w:val="Heading2"/>
      </w:pPr>
      <w:bookmarkStart w:id="14" w:name="_Toc304905587"/>
      <w:r>
        <w:lastRenderedPageBreak/>
        <w:t xml:space="preserve">5.2. </w:t>
      </w:r>
      <w:r w:rsidR="00044C92" w:rsidRPr="00306EEB">
        <w:t>RD-ANN-</w:t>
      </w:r>
      <w:proofErr w:type="spellStart"/>
      <w:r w:rsidR="00044C92" w:rsidRPr="00306EEB">
        <w:t>GKtCC</w:t>
      </w:r>
      <w:bookmarkEnd w:id="14"/>
      <w:proofErr w:type="spellEnd"/>
    </w:p>
    <w:p w14:paraId="09CEF962" w14:textId="15A8B1AA" w:rsidR="00044C92" w:rsidRPr="004F4EF6" w:rsidRDefault="00044C92" w:rsidP="000E5190">
      <w:pPr>
        <w:jc w:val="both"/>
        <w:rPr>
          <w:sz w:val="24"/>
        </w:rPr>
      </w:pPr>
      <w:r w:rsidRPr="004F4EF6">
        <w:rPr>
          <w:sz w:val="24"/>
        </w:rPr>
        <w:t>The RD-ANN-</w:t>
      </w:r>
      <w:proofErr w:type="spellStart"/>
      <w:r w:rsidRPr="004F4EF6">
        <w:rPr>
          <w:sz w:val="24"/>
        </w:rPr>
        <w:t>GKtCC</w:t>
      </w:r>
      <w:proofErr w:type="spellEnd"/>
      <w:r w:rsidRPr="004F4EF6">
        <w:rPr>
          <w:sz w:val="24"/>
        </w:rPr>
        <w:t xml:space="preserve"> method uses 16 inputs into the k-means clustering algorithm for the SMUD sites, which are shown in </w:t>
      </w:r>
      <w:r w:rsidR="00842251" w:rsidRPr="004F4EF6">
        <w:rPr>
          <w:sz w:val="24"/>
        </w:rPr>
        <w:t>Table 3</w:t>
      </w:r>
      <w:r w:rsidRPr="004F4EF6">
        <w:rPr>
          <w:sz w:val="24"/>
        </w:rPr>
        <w:t>. Again, the multi-site inputs are unavailable for BNL; thus, the RD-ANN-</w:t>
      </w:r>
      <w:proofErr w:type="spellStart"/>
      <w:r w:rsidRPr="004F4EF6">
        <w:rPr>
          <w:sz w:val="24"/>
        </w:rPr>
        <w:t>GKtCC</w:t>
      </w:r>
      <w:proofErr w:type="spellEnd"/>
      <w:r w:rsidRPr="004F4EF6">
        <w:rPr>
          <w:sz w:val="24"/>
        </w:rPr>
        <w:t xml:space="preserve"> method does not include either the nearby </w:t>
      </w:r>
      <w:proofErr w:type="spellStart"/>
      <w:r w:rsidRPr="004F4EF6">
        <w:rPr>
          <w:sz w:val="24"/>
        </w:rPr>
        <w:t>Kt</w:t>
      </w:r>
      <w:proofErr w:type="spellEnd"/>
      <w:r w:rsidRPr="004F4EF6">
        <w:rPr>
          <w:sz w:val="24"/>
        </w:rPr>
        <w:t xml:space="preserve"> in the previous 15-min or the standard deviation of the </w:t>
      </w:r>
      <w:proofErr w:type="spellStart"/>
      <w:r w:rsidRPr="004F4EF6">
        <w:rPr>
          <w:sz w:val="24"/>
        </w:rPr>
        <w:t>Kt</w:t>
      </w:r>
      <w:proofErr w:type="spellEnd"/>
      <w:r w:rsidRPr="004F4EF6">
        <w:rPr>
          <w:sz w:val="24"/>
        </w:rPr>
        <w:t xml:space="preserve"> in the previous 15-min among the nearby sites. Because there are 16 inputs into the k-means algorithm, there are 16 dimensions in the phase space of the k-means distance computation.  These 16 inputs provide the k-means algorithm with information to capture the meteorological state given both surface irradiance and weather observations as well as satellite-based data with careful consideration given to avoiding co-linearity.  The inputs include all inputs used in RD-ANN-</w:t>
      </w:r>
      <w:proofErr w:type="spellStart"/>
      <w:r w:rsidRPr="004F4EF6">
        <w:rPr>
          <w:sz w:val="24"/>
        </w:rPr>
        <w:t>KtCC</w:t>
      </w:r>
      <w:proofErr w:type="spellEnd"/>
      <w:r w:rsidRPr="004F4EF6">
        <w:rPr>
          <w:sz w:val="24"/>
        </w:rPr>
        <w:t xml:space="preserve"> as well as additional variables from the GOES-East observations: cloud fraction, cloud top height, cloud optical depth, hydrometeor radius, reflectance at 6.5 um (i.e. wavelength for shortwave IR), reflectance at 3.75 um (i.e. wavelength for water vapor), temperature at 6.5 um and temperature at 3.75 um.</w:t>
      </w:r>
    </w:p>
    <w:p w14:paraId="4E7E1841" w14:textId="45C50F9E" w:rsidR="00044C92" w:rsidRPr="004F4EF6" w:rsidRDefault="00044C92" w:rsidP="001F3A08">
      <w:pPr>
        <w:jc w:val="both"/>
        <w:rPr>
          <w:sz w:val="24"/>
        </w:rPr>
      </w:pPr>
      <w:r w:rsidRPr="004F4EF6">
        <w:rPr>
          <w:sz w:val="24"/>
        </w:rPr>
        <w:t>In order to match the level of complexity of the ANN with the number of training cases and complexity of relationships within each regime, we perform multiple sensitivity studies to determine the best number of training epochs and the best number of hidden layer neurons.  We examine the mean absolute error (MAE) of the RD-ANN-</w:t>
      </w:r>
      <w:proofErr w:type="spellStart"/>
      <w:r w:rsidRPr="004F4EF6">
        <w:rPr>
          <w:sz w:val="24"/>
        </w:rPr>
        <w:t>GKtCC</w:t>
      </w:r>
      <w:proofErr w:type="spellEnd"/>
      <w:r w:rsidRPr="004F4EF6">
        <w:rPr>
          <w:sz w:val="24"/>
        </w:rPr>
        <w:t xml:space="preserve"> method on the sensitivity test cases for each lead-time.  The MAE is calculated as,</w:t>
      </w:r>
    </w:p>
    <w:p w14:paraId="6E367E25" w14:textId="5C60B6B6" w:rsidR="00044C92" w:rsidRPr="004F4EF6" w:rsidRDefault="00044C92" w:rsidP="001F3A08">
      <w:pPr>
        <w:jc w:val="both"/>
        <w:rPr>
          <w:sz w:val="24"/>
        </w:rPr>
      </w:pPr>
      <w:r w:rsidRPr="004F4EF6">
        <w:rPr>
          <w:sz w:val="24"/>
        </w:rPr>
        <w:t xml:space="preserve">        </w:t>
      </w:r>
      <m:oMath>
        <m:r>
          <w:rPr>
            <w:rFonts w:ascii="Cambria Math" w:hAnsi="Cambria Math"/>
            <w:sz w:val="24"/>
          </w:rPr>
          <m:t xml:space="preserve">MAE= </m:t>
        </m:r>
        <m:f>
          <m:fPr>
            <m:ctrlPr>
              <w:rPr>
                <w:rFonts w:ascii="Cambria Math" w:hAnsi="Cambria Math"/>
                <w:i/>
                <w:sz w:val="24"/>
              </w:rPr>
            </m:ctrlPr>
          </m:fPr>
          <m:num>
            <m:r>
              <w:rPr>
                <w:rFonts w:ascii="Cambria Math" w:hAnsi="Cambria Math"/>
                <w:sz w:val="24"/>
              </w:rPr>
              <m:t>1</m:t>
            </m:r>
          </m:num>
          <m:den>
            <m:r>
              <w:rPr>
                <w:rFonts w:ascii="Cambria Math" w:hAnsi="Cambria Math"/>
                <w:sz w:val="24"/>
              </w:rPr>
              <m:t>n</m:t>
            </m:r>
          </m:den>
        </m:f>
        <m:r>
          <w:rPr>
            <w:rFonts w:ascii="Cambria Math" w:hAnsi="Cambria Math"/>
            <w:sz w:val="24"/>
          </w:rPr>
          <m:t xml:space="preserve"> </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r>
              <w:rPr>
                <w:rFonts w:ascii="Cambria Math" w:hAnsi="Cambria Math"/>
                <w:sz w:val="24"/>
              </w:rPr>
              <m:t>|(obs</m:t>
            </m:r>
            <m:d>
              <m:dPr>
                <m:ctrlPr>
                  <w:rPr>
                    <w:rFonts w:ascii="Cambria Math" w:hAnsi="Cambria Math"/>
                    <w:i/>
                    <w:sz w:val="24"/>
                  </w:rPr>
                </m:ctrlPr>
              </m:dPr>
              <m:e>
                <m:r>
                  <w:rPr>
                    <w:rFonts w:ascii="Cambria Math" w:hAnsi="Cambria Math"/>
                    <w:sz w:val="24"/>
                  </w:rPr>
                  <m:t>i</m:t>
                </m:r>
              </m:e>
            </m:d>
            <m:r>
              <w:rPr>
                <w:rFonts w:ascii="Cambria Math" w:hAnsi="Cambria Math"/>
                <w:sz w:val="24"/>
              </w:rPr>
              <m:t>-pred</m:t>
            </m:r>
            <m:d>
              <m:dPr>
                <m:ctrlPr>
                  <w:rPr>
                    <w:rFonts w:ascii="Cambria Math" w:hAnsi="Cambria Math"/>
                    <w:i/>
                    <w:sz w:val="24"/>
                  </w:rPr>
                </m:ctrlPr>
              </m:dPr>
              <m:e>
                <m:r>
                  <w:rPr>
                    <w:rFonts w:ascii="Cambria Math" w:hAnsi="Cambria Math"/>
                    <w:sz w:val="24"/>
                  </w:rPr>
                  <m:t>i</m:t>
                </m:r>
              </m:e>
            </m:d>
            <m:r>
              <w:rPr>
                <w:rFonts w:ascii="Cambria Math" w:hAnsi="Cambria Math"/>
                <w:sz w:val="24"/>
              </w:rPr>
              <m:t>|</m:t>
            </m:r>
          </m:e>
        </m:nary>
      </m:oMath>
      <w:r w:rsidRPr="004F4EF6">
        <w:rPr>
          <w:sz w:val="24"/>
        </w:rPr>
        <w:t xml:space="preserve">          ,                  (</w:t>
      </w:r>
      <w:r w:rsidR="00DD1927">
        <w:rPr>
          <w:sz w:val="24"/>
        </w:rPr>
        <w:t>2</w:t>
      </w:r>
      <w:r w:rsidRPr="004F4EF6">
        <w:rPr>
          <w:sz w:val="24"/>
        </w:rPr>
        <w:t>)</w:t>
      </w:r>
    </w:p>
    <w:p w14:paraId="4D0578A3" w14:textId="38603D52" w:rsidR="00382B6D" w:rsidRPr="004F4EF6" w:rsidRDefault="00044C92" w:rsidP="000E5190">
      <w:pPr>
        <w:ind w:firstLine="0"/>
        <w:jc w:val="both"/>
        <w:rPr>
          <w:sz w:val="24"/>
        </w:rPr>
      </w:pPr>
      <w:proofErr w:type="gramStart"/>
      <w:r w:rsidRPr="004F4EF6">
        <w:rPr>
          <w:sz w:val="24"/>
        </w:rPr>
        <w:t>where</w:t>
      </w:r>
      <w:proofErr w:type="gramEnd"/>
      <w:r w:rsidRPr="004F4EF6">
        <w:rPr>
          <w:sz w:val="24"/>
        </w:rPr>
        <w:t xml:space="preserve"> n is the number of instances in the testing data.  We varied the number of training epochs (100, 250, 500 or 1000) and averaged the error over the regimes.  The test was </w:t>
      </w:r>
      <w:r w:rsidRPr="004F4EF6">
        <w:rPr>
          <w:sz w:val="24"/>
        </w:rPr>
        <w:lastRenderedPageBreak/>
        <w:t xml:space="preserve">conducted separately for each lead-time with the result for 180 minutes appearing in </w:t>
      </w:r>
      <w:r w:rsidR="00842251" w:rsidRPr="004F4EF6">
        <w:rPr>
          <w:sz w:val="24"/>
        </w:rPr>
        <w:t>Figure 4</w:t>
      </w:r>
      <w:r w:rsidRPr="004F4EF6">
        <w:rPr>
          <w:sz w:val="24"/>
        </w:rPr>
        <w:t>.  The results indicate that the lowest error</w:t>
      </w:r>
      <w:r w:rsidR="0087398F">
        <w:rPr>
          <w:sz w:val="24"/>
        </w:rPr>
        <w:t xml:space="preserve"> on the sensitivity test cases</w:t>
      </w:r>
      <w:r w:rsidRPr="004F4EF6">
        <w:rPr>
          <w:sz w:val="24"/>
        </w:rPr>
        <w:t>, and thus the best number of training epochs for the ANN is 500.  The same result (not shown) was obtained for the other lead-times.</w:t>
      </w:r>
    </w:p>
    <w:p w14:paraId="02FAB635" w14:textId="7C286F2D" w:rsidR="00044C92" w:rsidRPr="004F4EF6" w:rsidRDefault="00044C92" w:rsidP="000E5190">
      <w:pPr>
        <w:jc w:val="both"/>
        <w:rPr>
          <w:sz w:val="24"/>
        </w:rPr>
      </w:pPr>
      <w:r w:rsidRPr="004F4EF6">
        <w:rPr>
          <w:sz w:val="24"/>
        </w:rPr>
        <w:t>After the sensitivity study determined the number of training epochs, the next step in configuring the RD-ANN-</w:t>
      </w:r>
      <w:proofErr w:type="spellStart"/>
      <w:r w:rsidRPr="004F4EF6">
        <w:rPr>
          <w:sz w:val="24"/>
        </w:rPr>
        <w:t>GKtCC</w:t>
      </w:r>
      <w:proofErr w:type="spellEnd"/>
      <w:r w:rsidRPr="004F4EF6">
        <w:rPr>
          <w:sz w:val="24"/>
        </w:rPr>
        <w:t xml:space="preserve"> model was to determine the best number of neurons and the best number of regimes for each forecast lead-time and forecast location.  We performed a sensitivity study with 5, 10, 15 and 20 neurons in the hidden layer and k ranging from two to nine for each forecast lead-time.  The best combinations (in terms of the lowest MAE on the sensitivity test datasets) are shown in </w:t>
      </w:r>
      <w:r w:rsidR="00842251" w:rsidRPr="004F4EF6">
        <w:rPr>
          <w:sz w:val="24"/>
        </w:rPr>
        <w:t>Table 4</w:t>
      </w:r>
      <w:r w:rsidRPr="004F4EF6">
        <w:rPr>
          <w:sz w:val="24"/>
        </w:rPr>
        <w:t>.  For the SMUD sites, the best k is two for the two shorter lead-times and three for the two longer lead-times.  For the BNL location, the best k is two for all forecast lead-times.  The best number of neurons varies among the different locations and lead-times; however, the results showed relatively minor differences between different number</w:t>
      </w:r>
      <w:r w:rsidR="008F6A5B">
        <w:rPr>
          <w:sz w:val="24"/>
        </w:rPr>
        <w:t>s</w:t>
      </w:r>
      <w:r w:rsidRPr="004F4EF6">
        <w:rPr>
          <w:sz w:val="24"/>
        </w:rPr>
        <w:t xml:space="preserve"> of neurons, which indicates that the increase in forecast power nearly balances the increase in overfitting for a range of model complexities around the best configuration.  </w:t>
      </w:r>
    </w:p>
    <w:p w14:paraId="672CB2EB" w14:textId="0675217D" w:rsidR="00044C92" w:rsidRPr="00306EEB" w:rsidRDefault="00D00713" w:rsidP="000E5190">
      <w:pPr>
        <w:pStyle w:val="Heading2"/>
      </w:pPr>
      <w:bookmarkStart w:id="15" w:name="_Toc304905588"/>
      <w:r>
        <w:t xml:space="preserve">5.3. </w:t>
      </w:r>
      <w:r w:rsidR="00044C92" w:rsidRPr="00306EEB">
        <w:t>RD-ANN-GCT</w:t>
      </w:r>
      <w:bookmarkEnd w:id="15"/>
    </w:p>
    <w:p w14:paraId="61DC7EC4" w14:textId="5055ADCD" w:rsidR="00044C92" w:rsidRPr="004F4EF6" w:rsidRDefault="00044C92" w:rsidP="001F3A08">
      <w:pPr>
        <w:jc w:val="both"/>
        <w:rPr>
          <w:sz w:val="24"/>
        </w:rPr>
      </w:pPr>
      <w:r w:rsidRPr="004F4EF6">
        <w:rPr>
          <w:sz w:val="24"/>
        </w:rPr>
        <w:t xml:space="preserve">The third method of regime-dependent prediction uses the “cloud type” variable in the GOES-East data to determine regimes; therefore, this technique is named RD-ANN-GCT.  </w:t>
      </w:r>
      <w:r w:rsidR="00D23E39">
        <w:rPr>
          <w:sz w:val="24"/>
        </w:rPr>
        <w:t>An</w:t>
      </w:r>
      <w:r w:rsidRPr="004F4EF6">
        <w:rPr>
          <w:sz w:val="24"/>
        </w:rPr>
        <w:t xml:space="preserve"> ANN </w:t>
      </w:r>
      <w:r w:rsidR="00D23E39">
        <w:rPr>
          <w:sz w:val="24"/>
        </w:rPr>
        <w:t xml:space="preserve">is </w:t>
      </w:r>
      <w:r w:rsidRPr="004F4EF6">
        <w:rPr>
          <w:sz w:val="24"/>
        </w:rPr>
        <w:t xml:space="preserve">trained for </w:t>
      </w:r>
      <w:r w:rsidR="00D23E39">
        <w:rPr>
          <w:sz w:val="24"/>
        </w:rPr>
        <w:t>each</w:t>
      </w:r>
      <w:r w:rsidR="00D23E39" w:rsidRPr="004F4EF6">
        <w:rPr>
          <w:sz w:val="24"/>
        </w:rPr>
        <w:t xml:space="preserve"> </w:t>
      </w:r>
      <w:r w:rsidRPr="004F4EF6">
        <w:rPr>
          <w:sz w:val="24"/>
        </w:rPr>
        <w:t>cloud type</w:t>
      </w:r>
      <w:r w:rsidR="00D23E39">
        <w:rPr>
          <w:sz w:val="24"/>
        </w:rPr>
        <w:t xml:space="preserve"> separately</w:t>
      </w:r>
      <w:r w:rsidRPr="004F4EF6">
        <w:rPr>
          <w:sz w:val="24"/>
        </w:rPr>
        <w:t xml:space="preserve">.  </w:t>
      </w:r>
      <w:r w:rsidR="004A5209">
        <w:rPr>
          <w:sz w:val="24"/>
        </w:rPr>
        <w:t>These</w:t>
      </w:r>
      <w:r w:rsidRPr="004F4EF6">
        <w:rPr>
          <w:sz w:val="24"/>
        </w:rPr>
        <w:t xml:space="preserve"> cloud types </w:t>
      </w:r>
      <w:r w:rsidR="004A5209">
        <w:rPr>
          <w:sz w:val="24"/>
        </w:rPr>
        <w:t>and their respective frequency in the datasets</w:t>
      </w:r>
      <w:r w:rsidRPr="004F4EF6">
        <w:rPr>
          <w:sz w:val="24"/>
        </w:rPr>
        <w:t>: fog</w:t>
      </w:r>
      <w:r w:rsidR="004A5209">
        <w:rPr>
          <w:sz w:val="24"/>
        </w:rPr>
        <w:t xml:space="preserve"> (12.4%)</w:t>
      </w:r>
      <w:r w:rsidRPr="004F4EF6">
        <w:rPr>
          <w:sz w:val="24"/>
        </w:rPr>
        <w:t>, liquid water clouds</w:t>
      </w:r>
      <w:r w:rsidR="004A5209">
        <w:rPr>
          <w:sz w:val="24"/>
        </w:rPr>
        <w:t xml:space="preserve"> (13.9%)</w:t>
      </w:r>
      <w:r w:rsidRPr="004F4EF6">
        <w:rPr>
          <w:sz w:val="24"/>
        </w:rPr>
        <w:t xml:space="preserve">, </w:t>
      </w:r>
      <w:proofErr w:type="spellStart"/>
      <w:r w:rsidRPr="004F4EF6">
        <w:rPr>
          <w:sz w:val="24"/>
        </w:rPr>
        <w:lastRenderedPageBreak/>
        <w:t>supercooled</w:t>
      </w:r>
      <w:proofErr w:type="spellEnd"/>
      <w:r w:rsidRPr="004F4EF6">
        <w:rPr>
          <w:sz w:val="24"/>
        </w:rPr>
        <w:t xml:space="preserve"> water clouds</w:t>
      </w:r>
      <w:r w:rsidR="004A5209">
        <w:rPr>
          <w:sz w:val="24"/>
        </w:rPr>
        <w:t xml:space="preserve"> (20.4%)</w:t>
      </w:r>
      <w:r w:rsidRPr="004F4EF6">
        <w:rPr>
          <w:sz w:val="24"/>
        </w:rPr>
        <w:t>, opaque ice clouds</w:t>
      </w:r>
      <w:r w:rsidR="004A5209">
        <w:rPr>
          <w:sz w:val="24"/>
        </w:rPr>
        <w:t xml:space="preserve"> (11.0%)</w:t>
      </w:r>
      <w:r w:rsidRPr="004F4EF6">
        <w:rPr>
          <w:sz w:val="24"/>
        </w:rPr>
        <w:t>, cirrus clouds</w:t>
      </w:r>
      <w:r w:rsidR="004A5209">
        <w:rPr>
          <w:sz w:val="24"/>
        </w:rPr>
        <w:t xml:space="preserve"> (32.8%)</w:t>
      </w:r>
      <w:r w:rsidRPr="004F4EF6">
        <w:rPr>
          <w:sz w:val="24"/>
        </w:rPr>
        <w:t xml:space="preserve">, </w:t>
      </w:r>
      <w:r w:rsidR="004A5209">
        <w:rPr>
          <w:sz w:val="24"/>
        </w:rPr>
        <w:t xml:space="preserve"> and </w:t>
      </w:r>
      <w:r w:rsidRPr="004F4EF6">
        <w:rPr>
          <w:sz w:val="24"/>
        </w:rPr>
        <w:t>overlapping clouds</w:t>
      </w:r>
      <w:r w:rsidR="004A5209">
        <w:rPr>
          <w:sz w:val="24"/>
        </w:rPr>
        <w:t xml:space="preserve"> (9.5%)</w:t>
      </w:r>
      <w:r w:rsidR="000924A4">
        <w:rPr>
          <w:sz w:val="24"/>
        </w:rPr>
        <w:t>, in addition to the cases identified as clear due to the absence of derived satellite variables</w:t>
      </w:r>
      <w:r w:rsidRPr="004F4EF6">
        <w:rPr>
          <w:sz w:val="24"/>
        </w:rPr>
        <w:t>.</w:t>
      </w:r>
      <w:r w:rsidR="008603E8">
        <w:rPr>
          <w:sz w:val="24"/>
        </w:rPr>
        <w:t xml:space="preserve"> Since the GOES c</w:t>
      </w:r>
      <w:r w:rsidR="008603E8" w:rsidRPr="008603E8">
        <w:rPr>
          <w:sz w:val="24"/>
        </w:rPr>
        <w:t>loud</w:t>
      </w:r>
      <w:r w:rsidR="008603E8">
        <w:rPr>
          <w:sz w:val="24"/>
        </w:rPr>
        <w:t xml:space="preserve"> t</w:t>
      </w:r>
      <w:r w:rsidR="008603E8" w:rsidRPr="008603E8">
        <w:rPr>
          <w:sz w:val="24"/>
        </w:rPr>
        <w:t xml:space="preserve">ype </w:t>
      </w:r>
      <w:r w:rsidR="008603E8">
        <w:rPr>
          <w:sz w:val="24"/>
        </w:rPr>
        <w:t xml:space="preserve">variable </w:t>
      </w:r>
      <w:r w:rsidR="008603E8" w:rsidRPr="008603E8">
        <w:rPr>
          <w:sz w:val="24"/>
        </w:rPr>
        <w:t xml:space="preserve">inherently separates into different regimes, there </w:t>
      </w:r>
      <w:r w:rsidR="008603E8">
        <w:rPr>
          <w:sz w:val="24"/>
        </w:rPr>
        <w:t>is</w:t>
      </w:r>
      <w:r w:rsidR="008603E8" w:rsidRPr="008603E8">
        <w:rPr>
          <w:sz w:val="24"/>
        </w:rPr>
        <w:t xml:space="preserve"> no sensitivity study necessary to determine the optimal number of regimes.  However, </w:t>
      </w:r>
      <w:r w:rsidR="008603E8">
        <w:rPr>
          <w:sz w:val="24"/>
        </w:rPr>
        <w:t>a sensitivity study confirmed that the same number of training epochs and neurons should be used as the configuration for the RD-ANN-</w:t>
      </w:r>
      <w:proofErr w:type="spellStart"/>
      <w:r w:rsidR="008603E8" w:rsidRPr="008603E8">
        <w:rPr>
          <w:sz w:val="24"/>
        </w:rPr>
        <w:t>GKtCC</w:t>
      </w:r>
      <w:proofErr w:type="spellEnd"/>
      <w:r w:rsidR="008603E8">
        <w:rPr>
          <w:sz w:val="24"/>
        </w:rPr>
        <w:t>.</w:t>
      </w:r>
    </w:p>
    <w:p w14:paraId="5F22991D" w14:textId="56926B96" w:rsidR="00044C92" w:rsidRPr="000C0C3E" w:rsidRDefault="00D00713" w:rsidP="000E5190">
      <w:pPr>
        <w:pStyle w:val="Heading1"/>
      </w:pPr>
      <w:bookmarkStart w:id="16" w:name="_Toc304905589"/>
      <w:r>
        <w:t xml:space="preserve">6. </w:t>
      </w:r>
      <w:r w:rsidR="00044C92" w:rsidRPr="00306EEB">
        <w:t>R</w:t>
      </w:r>
      <w:r w:rsidR="000C0C3E">
        <w:t>esults</w:t>
      </w:r>
      <w:bookmarkEnd w:id="16"/>
    </w:p>
    <w:p w14:paraId="4D58E233" w14:textId="4A3635A7" w:rsidR="00044C92" w:rsidRPr="000C0C3E" w:rsidRDefault="00D00713" w:rsidP="000E5190">
      <w:pPr>
        <w:pStyle w:val="Heading2"/>
      </w:pPr>
      <w:bookmarkStart w:id="17" w:name="_Toc304905590"/>
      <w:r>
        <w:t xml:space="preserve">6.1. </w:t>
      </w:r>
      <w:r w:rsidR="00044C92" w:rsidRPr="000C0C3E">
        <w:t>SMUD</w:t>
      </w:r>
      <w:bookmarkEnd w:id="17"/>
    </w:p>
    <w:p w14:paraId="4D3E5920" w14:textId="7761C5E9" w:rsidR="00044C92" w:rsidRPr="004F4EF6" w:rsidRDefault="00044C92" w:rsidP="000E5190">
      <w:pPr>
        <w:jc w:val="both"/>
        <w:rPr>
          <w:sz w:val="24"/>
        </w:rPr>
      </w:pPr>
      <w:r w:rsidRPr="004F4EF6">
        <w:rPr>
          <w:sz w:val="24"/>
        </w:rPr>
        <w:t xml:space="preserve">Once the best configurations are determined, the true test of skill is the comparison of the forecast techniques on the independent test datasets.  The data </w:t>
      </w:r>
      <w:r w:rsidR="008F6A5B">
        <w:rPr>
          <w:sz w:val="24"/>
        </w:rPr>
        <w:t>are</w:t>
      </w:r>
      <w:r w:rsidR="008F6A5B" w:rsidRPr="004F4EF6">
        <w:rPr>
          <w:sz w:val="24"/>
        </w:rPr>
        <w:t xml:space="preserve"> </w:t>
      </w:r>
      <w:r w:rsidRPr="004F4EF6">
        <w:rPr>
          <w:sz w:val="24"/>
        </w:rPr>
        <w:t xml:space="preserve">initially split based on whether there are derived data in the GOES-East observations.  Derived data are only available when the measured temperature and reflectance data indicate clouds are present. If an instance is identified as clear based on the GOES-East data, than an ANN trained on only those cases is used to predict the clearness index.  Otherwise, the RD-ANN models and an ANN without regime identification are used to predict the clearness index.  Clearness index persistence is used in both cases as our baseline technique.  The results for the GOES-East defined clear cases are shown in </w:t>
      </w:r>
      <w:r w:rsidR="00842251" w:rsidRPr="004F4EF6">
        <w:rPr>
          <w:sz w:val="24"/>
        </w:rPr>
        <w:t>Table 5</w:t>
      </w:r>
      <w:r w:rsidRPr="004F4EF6">
        <w:rPr>
          <w:sz w:val="24"/>
        </w:rPr>
        <w:t xml:space="preserve"> for all forecast lead-times</w:t>
      </w:r>
      <w:r w:rsidR="000924A4">
        <w:rPr>
          <w:sz w:val="24"/>
        </w:rPr>
        <w:t xml:space="preserve"> for the SMUD location</w:t>
      </w:r>
      <w:r w:rsidRPr="004F4EF6">
        <w:rPr>
          <w:sz w:val="24"/>
        </w:rPr>
        <w:t>.  They indicate that the ANN improves upon the clearness index persistence method at the 60-min, 120-min and 180-</w:t>
      </w:r>
      <w:r w:rsidRPr="004F4EF6">
        <w:rPr>
          <w:sz w:val="24"/>
        </w:rPr>
        <w:lastRenderedPageBreak/>
        <w:t xml:space="preserve">min forecast lead-times.  At the 15-min forecast lead-time, however, the error is nearly double that of the clearness index persistence forecast and this is likely a case of overfitting the training data.  At this forecast lead-time, the magnitude of the irradiance is relatively consistent unless a cloud </w:t>
      </w:r>
      <w:proofErr w:type="spellStart"/>
      <w:r w:rsidRPr="004F4EF6">
        <w:rPr>
          <w:sz w:val="24"/>
        </w:rPr>
        <w:t>advects</w:t>
      </w:r>
      <w:proofErr w:type="spellEnd"/>
      <w:r w:rsidRPr="004F4EF6">
        <w:rPr>
          <w:sz w:val="24"/>
        </w:rPr>
        <w:t xml:space="preserve"> or develops over the observation site. Because these instances are rare when GOES-East data determines it to be clear, the ANN likely </w:t>
      </w:r>
      <w:proofErr w:type="spellStart"/>
      <w:r w:rsidRPr="004F4EF6">
        <w:rPr>
          <w:sz w:val="24"/>
        </w:rPr>
        <w:t>overfits</w:t>
      </w:r>
      <w:proofErr w:type="spellEnd"/>
      <w:r w:rsidRPr="004F4EF6">
        <w:rPr>
          <w:sz w:val="24"/>
        </w:rPr>
        <w:t xml:space="preserve"> those uncommon cases and thus hurts the overall performance of the model.  We had kept the configuration of the ANN consistent throughout the forecast lead-times and across the clear and cloudy data subsets; however, future work will examine how to adjust the parameters of the ANN so that the model performs well on the test dataset for the clear data subset.</w:t>
      </w:r>
    </w:p>
    <w:p w14:paraId="1F80D20D" w14:textId="5BB00A0A" w:rsidR="00612917" w:rsidRPr="004F4EF6" w:rsidRDefault="00044C92" w:rsidP="000E5190">
      <w:pPr>
        <w:jc w:val="both"/>
        <w:rPr>
          <w:sz w:val="24"/>
        </w:rPr>
      </w:pPr>
      <w:r w:rsidRPr="004F4EF6">
        <w:rPr>
          <w:sz w:val="24"/>
        </w:rPr>
        <w:t xml:space="preserve">Next, all of the RD-ANN methods were compared to both the ANN without regime identification (ANN-ALL) and the clearness index persistence for all the cases labeled other than clear by the GOES-East data.  These </w:t>
      </w:r>
      <w:r w:rsidR="00FB6BC1">
        <w:rPr>
          <w:sz w:val="24"/>
        </w:rPr>
        <w:t xml:space="preserve">MAE </w:t>
      </w:r>
      <w:r w:rsidRPr="004F4EF6">
        <w:rPr>
          <w:sz w:val="24"/>
        </w:rPr>
        <w:t xml:space="preserve">results are plotted in </w:t>
      </w:r>
      <w:r w:rsidR="00842251" w:rsidRPr="004F4EF6">
        <w:rPr>
          <w:sz w:val="24"/>
        </w:rPr>
        <w:t>Figure 5</w:t>
      </w:r>
      <w:r w:rsidRPr="004F4EF6">
        <w:rPr>
          <w:sz w:val="24"/>
        </w:rPr>
        <w:t xml:space="preserve"> for all forecast lead-times.  As expected, the forecast error increases as the forecast lead-time increases.  The only method that generally performs worse than clearness index persistence is the RD-ANN-GCT method that uses the GOES-East derived cloud types as the regime classification method.   At the 15-min lead-time, the RD-ANN-</w:t>
      </w:r>
      <w:proofErr w:type="spellStart"/>
      <w:r w:rsidRPr="004F4EF6">
        <w:rPr>
          <w:sz w:val="24"/>
        </w:rPr>
        <w:t>KtCC</w:t>
      </w:r>
      <w:proofErr w:type="spellEnd"/>
      <w:r w:rsidR="00893199">
        <w:rPr>
          <w:sz w:val="24"/>
        </w:rPr>
        <w:t>,</w:t>
      </w:r>
      <w:r w:rsidRPr="004F4EF6">
        <w:rPr>
          <w:sz w:val="24"/>
        </w:rPr>
        <w:t xml:space="preserve"> RD-ANN-</w:t>
      </w:r>
      <w:proofErr w:type="spellStart"/>
      <w:r w:rsidRPr="004F4EF6">
        <w:rPr>
          <w:sz w:val="24"/>
        </w:rPr>
        <w:t>GKtCC</w:t>
      </w:r>
      <w:proofErr w:type="spellEnd"/>
      <w:r w:rsidR="00893199">
        <w:rPr>
          <w:sz w:val="24"/>
        </w:rPr>
        <w:t>,</w:t>
      </w:r>
      <w:r w:rsidRPr="004F4EF6">
        <w:rPr>
          <w:sz w:val="24"/>
        </w:rPr>
        <w:t xml:space="preserve"> ANN-ALL, and clearness index persistence all show similar errors.  However, at the 60-min and longer lead-times, the RD-ANN-</w:t>
      </w:r>
      <w:proofErr w:type="spellStart"/>
      <w:r w:rsidRPr="004F4EF6">
        <w:rPr>
          <w:sz w:val="24"/>
        </w:rPr>
        <w:t>KtCC</w:t>
      </w:r>
      <w:proofErr w:type="spellEnd"/>
      <w:r w:rsidRPr="004F4EF6">
        <w:rPr>
          <w:sz w:val="24"/>
        </w:rPr>
        <w:t>; RD-ANN-</w:t>
      </w:r>
      <w:proofErr w:type="spellStart"/>
      <w:r w:rsidRPr="004F4EF6">
        <w:rPr>
          <w:sz w:val="24"/>
        </w:rPr>
        <w:t>GKtCC</w:t>
      </w:r>
      <w:proofErr w:type="spellEnd"/>
      <w:r w:rsidRPr="004F4EF6">
        <w:rPr>
          <w:sz w:val="24"/>
        </w:rPr>
        <w:t>; ANN-ALL, all show improvement over the clearness index persistence as shown by the larger MAE of the clearness index forecasts.  The method that generally performs best is RD-ANN-</w:t>
      </w:r>
      <w:proofErr w:type="spellStart"/>
      <w:r w:rsidRPr="004F4EF6">
        <w:rPr>
          <w:sz w:val="24"/>
        </w:rPr>
        <w:t>GKtCC</w:t>
      </w:r>
      <w:proofErr w:type="spellEnd"/>
      <w:r w:rsidRPr="004F4EF6">
        <w:rPr>
          <w:sz w:val="24"/>
        </w:rPr>
        <w:t xml:space="preserve"> method, which exploits the GOES-East data in both the k-means clustering and ANN. </w:t>
      </w:r>
    </w:p>
    <w:p w14:paraId="0C5E55A8" w14:textId="64AA11AE"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lastRenderedPageBreak/>
        <w:t xml:space="preserve">To quantify the forecast skill improvement with the regime-dependent methods we compute the percent improvement over our baseline clearness index persistence technique.  The percent improvement over clearness index persistence for the forecasts at the SMUD sites is shown in </w:t>
      </w:r>
      <w:r w:rsidR="00842251" w:rsidRPr="004F4EF6">
        <w:rPr>
          <w:rFonts w:ascii="Times New Roman" w:hAnsi="Times New Roman"/>
        </w:rPr>
        <w:t>Figure 6</w:t>
      </w:r>
      <w:r w:rsidRPr="004F4EF6">
        <w:rPr>
          <w:rFonts w:ascii="Times New Roman" w:hAnsi="Times New Roman"/>
        </w:rPr>
        <w:t>.  At the 15-min lead-time, all of the methods closely mimic clearness index persistence, except for the RD-ANN-GCT method. A</w:t>
      </w:r>
      <w:r w:rsidR="0087398F">
        <w:rPr>
          <w:rFonts w:ascii="Times New Roman" w:hAnsi="Times New Roman"/>
        </w:rPr>
        <w:t>t</w:t>
      </w:r>
      <w:r w:rsidRPr="004F4EF6">
        <w:rPr>
          <w:rFonts w:ascii="Times New Roman" w:hAnsi="Times New Roman"/>
        </w:rPr>
        <w:t xml:space="preserve"> this lead-time only the RD-ANN-</w:t>
      </w:r>
      <w:proofErr w:type="spellStart"/>
      <w:r w:rsidRPr="004F4EF6">
        <w:rPr>
          <w:rFonts w:ascii="Times New Roman" w:hAnsi="Times New Roman"/>
        </w:rPr>
        <w:t>GKtCC</w:t>
      </w:r>
      <w:proofErr w:type="spellEnd"/>
      <w:r w:rsidRPr="004F4EF6">
        <w:rPr>
          <w:rFonts w:ascii="Times New Roman" w:hAnsi="Times New Roman"/>
        </w:rPr>
        <w:t xml:space="preserve"> method improves </w:t>
      </w:r>
      <w:r w:rsidR="00D26698">
        <w:rPr>
          <w:rFonts w:ascii="Times New Roman" w:hAnsi="Times New Roman"/>
        </w:rPr>
        <w:t xml:space="preserve">slightly </w:t>
      </w:r>
      <w:r w:rsidRPr="004F4EF6">
        <w:rPr>
          <w:rFonts w:ascii="Times New Roman" w:hAnsi="Times New Roman"/>
        </w:rPr>
        <w:t>over the clearness index persistence, by 1%.  In contrast, at the 60-min, 120-min, and 180-min lead-times, most of the RD-ANN methods show between 10% and 28% improvement over the clearness index persistence method.  The RD-ANN-GOES model shows the worst performance except at the 180-min lead-time when it begins to improve over the clearness index persistence.  This poor performance is likely due</w:t>
      </w:r>
      <w:r w:rsidR="00655A5B">
        <w:rPr>
          <w:rFonts w:ascii="Times New Roman" w:hAnsi="Times New Roman"/>
        </w:rPr>
        <w:t xml:space="preserve"> several factors. One possible reason is that</w:t>
      </w:r>
      <w:r w:rsidRPr="004F4EF6">
        <w:rPr>
          <w:rFonts w:ascii="Times New Roman" w:hAnsi="Times New Roman"/>
        </w:rPr>
        <w:t xml:space="preserve"> the cloud type classification</w:t>
      </w:r>
      <w:r w:rsidR="00655A5B">
        <w:rPr>
          <w:rFonts w:ascii="Times New Roman" w:hAnsi="Times New Roman"/>
        </w:rPr>
        <w:t xml:space="preserve"> separates into six different regimes, which is higher than the number of regimes </w:t>
      </w:r>
      <w:r w:rsidR="00A12016">
        <w:rPr>
          <w:rFonts w:ascii="Times New Roman" w:hAnsi="Times New Roman"/>
        </w:rPr>
        <w:t xml:space="preserve">our sensitivity tests </w:t>
      </w:r>
      <w:r w:rsidR="00655A5B">
        <w:rPr>
          <w:rFonts w:ascii="Times New Roman" w:hAnsi="Times New Roman"/>
        </w:rPr>
        <w:t xml:space="preserve">found </w:t>
      </w:r>
      <w:r w:rsidR="00A12016">
        <w:rPr>
          <w:rFonts w:ascii="Times New Roman" w:hAnsi="Times New Roman"/>
        </w:rPr>
        <w:t xml:space="preserve">best </w:t>
      </w:r>
      <w:r w:rsidR="00655A5B">
        <w:rPr>
          <w:rFonts w:ascii="Times New Roman" w:hAnsi="Times New Roman"/>
        </w:rPr>
        <w:t xml:space="preserve">in the </w:t>
      </w:r>
      <w:r w:rsidR="00655A5B" w:rsidRPr="004F4EF6">
        <w:rPr>
          <w:rFonts w:ascii="Times New Roman" w:hAnsi="Times New Roman"/>
        </w:rPr>
        <w:t>RD-ANN-</w:t>
      </w:r>
      <w:proofErr w:type="spellStart"/>
      <w:r w:rsidR="00655A5B" w:rsidRPr="004F4EF6">
        <w:rPr>
          <w:rFonts w:ascii="Times New Roman" w:hAnsi="Times New Roman"/>
        </w:rPr>
        <w:t>GKtCC</w:t>
      </w:r>
      <w:proofErr w:type="spellEnd"/>
      <w:r w:rsidR="00655A5B" w:rsidRPr="004F4EF6">
        <w:rPr>
          <w:rFonts w:ascii="Times New Roman" w:hAnsi="Times New Roman"/>
        </w:rPr>
        <w:t xml:space="preserve"> method</w:t>
      </w:r>
      <w:r w:rsidR="00655A5B">
        <w:rPr>
          <w:rFonts w:ascii="Times New Roman" w:hAnsi="Times New Roman"/>
        </w:rPr>
        <w:t xml:space="preserve">. </w:t>
      </w:r>
      <w:r w:rsidRPr="004F4EF6">
        <w:rPr>
          <w:rFonts w:ascii="Times New Roman" w:hAnsi="Times New Roman"/>
        </w:rPr>
        <w:t xml:space="preserve"> </w:t>
      </w:r>
      <w:r w:rsidR="00655A5B">
        <w:rPr>
          <w:rFonts w:ascii="Times New Roman" w:hAnsi="Times New Roman"/>
        </w:rPr>
        <w:t xml:space="preserve">Another reason is </w:t>
      </w:r>
      <w:r w:rsidRPr="004F4EF6">
        <w:rPr>
          <w:rFonts w:ascii="Times New Roman" w:hAnsi="Times New Roman"/>
        </w:rPr>
        <w:t xml:space="preserve">because there are likely cases of misclassification by the GOES </w:t>
      </w:r>
      <w:proofErr w:type="gramStart"/>
      <w:r w:rsidRPr="004F4EF6">
        <w:rPr>
          <w:rFonts w:ascii="Times New Roman" w:hAnsi="Times New Roman"/>
        </w:rPr>
        <w:t>East</w:t>
      </w:r>
      <w:proofErr w:type="gramEnd"/>
      <w:r w:rsidRPr="004F4EF6">
        <w:rPr>
          <w:rFonts w:ascii="Times New Roman" w:hAnsi="Times New Roman"/>
        </w:rPr>
        <w:t xml:space="preserve"> system</w:t>
      </w:r>
      <w:r w:rsidR="0058431A">
        <w:rPr>
          <w:rFonts w:ascii="Times New Roman" w:hAnsi="Times New Roman"/>
        </w:rPr>
        <w:t>.</w:t>
      </w:r>
      <w:r w:rsidRPr="004F4EF6">
        <w:rPr>
          <w:rFonts w:ascii="Times New Roman" w:hAnsi="Times New Roman"/>
        </w:rPr>
        <w:t xml:space="preserve"> </w:t>
      </w:r>
      <w:r w:rsidR="0058431A">
        <w:rPr>
          <w:rFonts w:ascii="Times New Roman" w:hAnsi="Times New Roman"/>
        </w:rPr>
        <w:t xml:space="preserve">Additionally, </w:t>
      </w:r>
      <w:r w:rsidRPr="004F4EF6">
        <w:rPr>
          <w:rFonts w:ascii="Times New Roman" w:hAnsi="Times New Roman"/>
        </w:rPr>
        <w:t>there are cloud regimes with small data subset sizes</w:t>
      </w:r>
      <w:r w:rsidR="0058431A">
        <w:rPr>
          <w:rFonts w:ascii="Times New Roman" w:hAnsi="Times New Roman"/>
        </w:rPr>
        <w:t xml:space="preserve">, such as the fog, overlapping, and opaque ice cloud regimes that </w:t>
      </w:r>
      <w:r w:rsidR="00966DB8">
        <w:rPr>
          <w:rFonts w:ascii="Times New Roman" w:hAnsi="Times New Roman"/>
        </w:rPr>
        <w:t xml:space="preserve">each </w:t>
      </w:r>
      <w:r w:rsidR="0058431A">
        <w:rPr>
          <w:rFonts w:ascii="Times New Roman" w:hAnsi="Times New Roman"/>
        </w:rPr>
        <w:t>have only 9.5% to 12.5% of the total data</w:t>
      </w:r>
      <w:r w:rsidR="00870A40">
        <w:rPr>
          <w:rFonts w:ascii="Times New Roman" w:hAnsi="Times New Roman"/>
        </w:rPr>
        <w:t>,</w:t>
      </w:r>
      <w:r w:rsidRPr="004F4EF6">
        <w:rPr>
          <w:rFonts w:ascii="Times New Roman" w:hAnsi="Times New Roman"/>
        </w:rPr>
        <w:t xml:space="preserve"> and th</w:t>
      </w:r>
      <w:r w:rsidR="0058431A">
        <w:rPr>
          <w:rFonts w:ascii="Times New Roman" w:hAnsi="Times New Roman"/>
        </w:rPr>
        <w:t xml:space="preserve">erefore, the </w:t>
      </w:r>
      <w:r w:rsidR="002F122E">
        <w:rPr>
          <w:rFonts w:ascii="Times New Roman" w:hAnsi="Times New Roman"/>
        </w:rPr>
        <w:t>ANN</w:t>
      </w:r>
      <w:r w:rsidR="0058431A">
        <w:rPr>
          <w:rFonts w:ascii="Times New Roman" w:hAnsi="Times New Roman"/>
        </w:rPr>
        <w:t xml:space="preserve"> is</w:t>
      </w:r>
      <w:r w:rsidR="002F122E">
        <w:rPr>
          <w:rFonts w:ascii="Times New Roman" w:hAnsi="Times New Roman"/>
        </w:rPr>
        <w:t xml:space="preserve"> </w:t>
      </w:r>
      <w:r w:rsidR="0058431A">
        <w:rPr>
          <w:rFonts w:ascii="Times New Roman" w:hAnsi="Times New Roman"/>
        </w:rPr>
        <w:t xml:space="preserve">potentially </w:t>
      </w:r>
      <w:r w:rsidRPr="004F4EF6">
        <w:rPr>
          <w:rFonts w:ascii="Times New Roman" w:hAnsi="Times New Roman"/>
        </w:rPr>
        <w:t>overfitting on those regimes.</w:t>
      </w:r>
      <w:r w:rsidR="007D5845">
        <w:rPr>
          <w:rFonts w:ascii="Times New Roman" w:hAnsi="Times New Roman"/>
        </w:rPr>
        <w:t xml:space="preserve">  The ANN did have substantially lower errors on the training data (not shown), which further indicates the ANN was over-fitting the smaller regime subsets. </w:t>
      </w:r>
      <w:r w:rsidRPr="004F4EF6">
        <w:rPr>
          <w:rFonts w:ascii="Times New Roman" w:hAnsi="Times New Roman"/>
        </w:rPr>
        <w:t>At the 60-min, 120-min and 180-min, the RD-ANN-</w:t>
      </w:r>
      <w:proofErr w:type="spellStart"/>
      <w:r w:rsidRPr="004F4EF6">
        <w:rPr>
          <w:rFonts w:ascii="Times New Roman" w:hAnsi="Times New Roman"/>
        </w:rPr>
        <w:t>GKtCC</w:t>
      </w:r>
      <w:proofErr w:type="spellEnd"/>
      <w:r w:rsidRPr="004F4EF6">
        <w:rPr>
          <w:rFonts w:ascii="Times New Roman" w:hAnsi="Times New Roman"/>
        </w:rPr>
        <w:t xml:space="preserve"> method shows 21.0%, 26.4%, and 27.4% improvement over the clearness index persistence.  The RD-ANN-</w:t>
      </w:r>
      <w:proofErr w:type="spellStart"/>
      <w:r w:rsidRPr="004F4EF6">
        <w:rPr>
          <w:rFonts w:ascii="Times New Roman" w:hAnsi="Times New Roman"/>
        </w:rPr>
        <w:t>GKtCC</w:t>
      </w:r>
      <w:proofErr w:type="spellEnd"/>
      <w:r w:rsidRPr="004F4EF6">
        <w:rPr>
          <w:rFonts w:ascii="Times New Roman" w:hAnsi="Times New Roman"/>
        </w:rPr>
        <w:t xml:space="preserve"> method is best at all lead-times except 120</w:t>
      </w:r>
      <w:r w:rsidR="00FB6BC1">
        <w:rPr>
          <w:rFonts w:ascii="Times New Roman" w:hAnsi="Times New Roman"/>
        </w:rPr>
        <w:t xml:space="preserve"> </w:t>
      </w:r>
      <w:r w:rsidRPr="004F4EF6">
        <w:rPr>
          <w:rFonts w:ascii="Times New Roman" w:hAnsi="Times New Roman"/>
        </w:rPr>
        <w:t>min where the RD-ANN-</w:t>
      </w:r>
      <w:proofErr w:type="spellStart"/>
      <w:r w:rsidRPr="004F4EF6">
        <w:rPr>
          <w:rFonts w:ascii="Times New Roman" w:hAnsi="Times New Roman"/>
        </w:rPr>
        <w:t>KtCC</w:t>
      </w:r>
      <w:proofErr w:type="spellEnd"/>
      <w:r w:rsidRPr="004F4EF6">
        <w:rPr>
          <w:rFonts w:ascii="Times New Roman" w:hAnsi="Times New Roman"/>
        </w:rPr>
        <w:t xml:space="preserve"> produces a slightly better 26.6% improvement over clearness index persistence. These results demonstrate that the </w:t>
      </w:r>
      <w:r w:rsidRPr="004F4EF6">
        <w:rPr>
          <w:rFonts w:ascii="Times New Roman" w:hAnsi="Times New Roman"/>
        </w:rPr>
        <w:lastRenderedPageBreak/>
        <w:t>RD-ANN methods are able to improve substantially over clearness index persistence at 60-min, 120-min and 180-min lead-times; however, the cloud regime classification makes a considerable impact on the overall performance of the models.</w:t>
      </w:r>
    </w:p>
    <w:p w14:paraId="05C7F210" w14:textId="1CB5318B" w:rsidR="00044C92" w:rsidRPr="000C0C3E" w:rsidRDefault="00D00713" w:rsidP="000E5190">
      <w:pPr>
        <w:pStyle w:val="Heading2"/>
      </w:pPr>
      <w:bookmarkStart w:id="18" w:name="_Toc304905591"/>
      <w:r>
        <w:t xml:space="preserve">6.2. </w:t>
      </w:r>
      <w:r w:rsidR="00044C92" w:rsidRPr="000C0C3E">
        <w:t>BNL</w:t>
      </w:r>
      <w:bookmarkEnd w:id="18"/>
    </w:p>
    <w:p w14:paraId="61A0BA2E" w14:textId="24F2CE19" w:rsidR="00044C92" w:rsidRPr="004F4EF6" w:rsidRDefault="00044C92" w:rsidP="000E5190">
      <w:pPr>
        <w:jc w:val="both"/>
        <w:rPr>
          <w:sz w:val="24"/>
        </w:rPr>
      </w:pPr>
      <w:r w:rsidRPr="004F4EF6">
        <w:rPr>
          <w:sz w:val="24"/>
        </w:rPr>
        <w:t>While the SMUD dataset provides a substantial amount of data for training, sensitivity testing and independent verification, it is important to analyze how our complex regime-dependent model performs when trained with a smaller dataset.  Doing so quantifies the value of obtaining larger, and thus more expensive, training datasets.  In addition to redeveloping the same RD-ANN methods using the BNL dataset, we also trained the RD-ANN-</w:t>
      </w:r>
      <w:proofErr w:type="spellStart"/>
      <w:r w:rsidRPr="004F4EF6">
        <w:rPr>
          <w:sz w:val="24"/>
        </w:rPr>
        <w:t>GKtCC</w:t>
      </w:r>
      <w:proofErr w:type="spellEnd"/>
      <w:r w:rsidRPr="004F4EF6">
        <w:rPr>
          <w:sz w:val="24"/>
        </w:rPr>
        <w:t xml:space="preserve"> model on the SMUD dataset and applied it to the BNL dataset (RD-ANN-SMUD)</w:t>
      </w:r>
      <w:r w:rsidR="00870A40">
        <w:rPr>
          <w:sz w:val="24"/>
        </w:rPr>
        <w:t xml:space="preserve"> in order to determine how a general model trained at one site performs at a different site.</w:t>
      </w:r>
      <w:r w:rsidRPr="004F4EF6">
        <w:rPr>
          <w:sz w:val="24"/>
        </w:rPr>
        <w:t xml:space="preserve">  The MAE for each method on the BNL test data is shown in </w:t>
      </w:r>
      <w:r w:rsidR="00842251" w:rsidRPr="004F4EF6">
        <w:rPr>
          <w:sz w:val="24"/>
        </w:rPr>
        <w:t>Figure 7</w:t>
      </w:r>
      <w:r w:rsidRPr="004F4EF6">
        <w:rPr>
          <w:sz w:val="24"/>
        </w:rPr>
        <w:t xml:space="preserve"> for all forecast lead-times.  These results indicate that the clearness index persistence method has lower error than all ANN methods for BNL.  The results also indicate that, similar to the results for the SMUD sites, the RD-ANN-GCT model is the worst performing model.  At the 15-min and 60-min lead-time, the best regime-dependent model is the method trained at SMUD. This highlights the importance of numerous and applicable training data, especially considering that the geostationary satellite data </w:t>
      </w:r>
      <w:r w:rsidR="00870A40">
        <w:rPr>
          <w:sz w:val="24"/>
        </w:rPr>
        <w:t>are</w:t>
      </w:r>
      <w:r w:rsidR="00870A40" w:rsidRPr="004F4EF6">
        <w:rPr>
          <w:sz w:val="24"/>
        </w:rPr>
        <w:t xml:space="preserve"> </w:t>
      </w:r>
      <w:r w:rsidRPr="004F4EF6">
        <w:rPr>
          <w:sz w:val="24"/>
        </w:rPr>
        <w:t xml:space="preserve">distorted in different ways for locations in California versus New York,  negatively impacting the forecast performance of a model trained at one location and applied to the other.  The amount of data available from BNL to train the models </w:t>
      </w:r>
      <w:r w:rsidR="00870A40">
        <w:rPr>
          <w:sz w:val="24"/>
        </w:rPr>
        <w:t xml:space="preserve">at that site </w:t>
      </w:r>
      <w:r w:rsidRPr="004F4EF6">
        <w:rPr>
          <w:sz w:val="24"/>
        </w:rPr>
        <w:t xml:space="preserve">is likely too </w:t>
      </w:r>
      <w:r w:rsidRPr="004F4EF6">
        <w:rPr>
          <w:sz w:val="24"/>
        </w:rPr>
        <w:lastRenderedPageBreak/>
        <w:t>little given the number of predictors and the model complexity.  With 40 predictors provided to the ANN, it may be too complex to avoid overfitting given a training dataset of a maximum (if no regime-classification is done) of 309 instances. Future work will examine how to properly down-select to the appropriate number of predictors and model complexity so as to capture the true predictive relationships among the predictors in a limited dataset.</w:t>
      </w:r>
    </w:p>
    <w:p w14:paraId="75B09325" w14:textId="6E3A6E38" w:rsidR="00044C92" w:rsidRPr="00306EEB" w:rsidRDefault="00D00713" w:rsidP="000E5190">
      <w:pPr>
        <w:pStyle w:val="Heading2"/>
      </w:pPr>
      <w:bookmarkStart w:id="19" w:name="_Toc304905592"/>
      <w:r>
        <w:t xml:space="preserve">6.3. </w:t>
      </w:r>
      <w:r w:rsidR="00044C92" w:rsidRPr="00306EEB">
        <w:t>Variability Prediction</w:t>
      </w:r>
      <w:bookmarkEnd w:id="19"/>
    </w:p>
    <w:p w14:paraId="1209EF6D" w14:textId="65E82D59" w:rsidR="00044C92" w:rsidRPr="004F4EF6" w:rsidRDefault="00044C92" w:rsidP="001F3A08">
      <w:pPr>
        <w:jc w:val="both"/>
        <w:rPr>
          <w:sz w:val="24"/>
        </w:rPr>
      </w:pPr>
      <w:r w:rsidRPr="004F4EF6">
        <w:rPr>
          <w:sz w:val="24"/>
        </w:rPr>
        <w:t xml:space="preserve">Although the deterministic forecast skill such as that shown above is of primary interest to utility companies and systems operators, it is also valuable to predict irradiance variability.  Variability is important because the utility companies and systems operators need to allocate </w:t>
      </w:r>
      <w:r w:rsidR="00F7193A">
        <w:rPr>
          <w:sz w:val="24"/>
        </w:rPr>
        <w:t>adequate resources to deal with</w:t>
      </w:r>
      <w:r w:rsidRPr="004F4EF6">
        <w:rPr>
          <w:sz w:val="24"/>
        </w:rPr>
        <w:t xml:space="preserve"> variations that cannot be deterministically predicted.  Here, we compute the irradiance variability as the standard deviation of the clearness index over the following three hours (i.e. the standard deviation of twelve 15-min average clearness index values).  </w:t>
      </w:r>
      <w:r w:rsidR="00456EB5">
        <w:rPr>
          <w:sz w:val="24"/>
        </w:rPr>
        <w:t xml:space="preserve">We test the variability prediction for SMUD </w:t>
      </w:r>
      <w:r w:rsidR="000F4581">
        <w:rPr>
          <w:sz w:val="24"/>
        </w:rPr>
        <w:t>because the deterministic prediction results showed that</w:t>
      </w:r>
      <w:r w:rsidR="00456EB5">
        <w:rPr>
          <w:sz w:val="24"/>
        </w:rPr>
        <w:t xml:space="preserve"> the dataset </w:t>
      </w:r>
      <w:r w:rsidR="000F4581">
        <w:rPr>
          <w:sz w:val="24"/>
        </w:rPr>
        <w:t>has am</w:t>
      </w:r>
      <w:r w:rsidR="00F7193A">
        <w:rPr>
          <w:sz w:val="24"/>
        </w:rPr>
        <w:t>p</w:t>
      </w:r>
      <w:r w:rsidR="000F4581">
        <w:rPr>
          <w:sz w:val="24"/>
        </w:rPr>
        <w:t xml:space="preserve">le data for training and testing.  </w:t>
      </w:r>
      <w:r w:rsidRPr="004F4EF6">
        <w:rPr>
          <w:sz w:val="24"/>
        </w:rPr>
        <w:t xml:space="preserve">As our baseline forecast, we compute the standard deviation of the 15-min average clearness index values over the prior hour.  Essentially, this clearness index persistence forecast </w:t>
      </w:r>
      <w:r w:rsidR="00F7193A">
        <w:rPr>
          <w:sz w:val="24"/>
        </w:rPr>
        <w:t>predicts</w:t>
      </w:r>
      <w:r w:rsidRPr="004F4EF6">
        <w:rPr>
          <w:sz w:val="24"/>
        </w:rPr>
        <w:t xml:space="preserve"> that variability will </w:t>
      </w:r>
      <w:r w:rsidR="00870A40">
        <w:rPr>
          <w:sz w:val="24"/>
        </w:rPr>
        <w:t>remain</w:t>
      </w:r>
      <w:r w:rsidR="00870A40" w:rsidRPr="004F4EF6">
        <w:rPr>
          <w:sz w:val="24"/>
        </w:rPr>
        <w:t xml:space="preserve"> </w:t>
      </w:r>
      <w:r w:rsidRPr="004F4EF6">
        <w:rPr>
          <w:sz w:val="24"/>
        </w:rPr>
        <w:t>the same for the following three hours.  We test this baseline technique versus an ANN trained without regime-identification and a new version of RD-ANN-</w:t>
      </w:r>
      <w:proofErr w:type="spellStart"/>
      <w:r w:rsidRPr="004F4EF6">
        <w:rPr>
          <w:sz w:val="24"/>
        </w:rPr>
        <w:t>GKtCC</w:t>
      </w:r>
      <w:proofErr w:type="spellEnd"/>
      <w:r w:rsidRPr="004F4EF6">
        <w:rPr>
          <w:sz w:val="24"/>
        </w:rPr>
        <w:t xml:space="preserve"> method that uses the same inputs and predictors as the deterministic irradiance forecast methodology, but is now </w:t>
      </w:r>
      <w:r w:rsidRPr="004F4EF6">
        <w:rPr>
          <w:sz w:val="24"/>
        </w:rPr>
        <w:lastRenderedPageBreak/>
        <w:t xml:space="preserve">trained to predict the three hour clearness index variability. The results for the variability prediction are shown in </w:t>
      </w:r>
      <w:r w:rsidR="00842251" w:rsidRPr="004F4EF6">
        <w:rPr>
          <w:sz w:val="24"/>
        </w:rPr>
        <w:t>Table 6</w:t>
      </w:r>
      <w:r w:rsidRPr="004F4EF6">
        <w:rPr>
          <w:sz w:val="24"/>
        </w:rPr>
        <w:t xml:space="preserve"> </w:t>
      </w:r>
      <w:r w:rsidR="00910568">
        <w:rPr>
          <w:sz w:val="24"/>
        </w:rPr>
        <w:t>reveals that</w:t>
      </w:r>
      <w:r w:rsidRPr="004F4EF6">
        <w:rPr>
          <w:sz w:val="24"/>
        </w:rPr>
        <w:t xml:space="preserve"> the lowest MAE </w:t>
      </w:r>
      <w:r w:rsidR="00910568">
        <w:rPr>
          <w:sz w:val="24"/>
        </w:rPr>
        <w:t xml:space="preserve">comes </w:t>
      </w:r>
      <w:r w:rsidRPr="004F4EF6">
        <w:rPr>
          <w:sz w:val="24"/>
        </w:rPr>
        <w:t>from the RD-ANN-</w:t>
      </w:r>
      <w:proofErr w:type="spellStart"/>
      <w:r w:rsidRPr="004F4EF6">
        <w:rPr>
          <w:sz w:val="24"/>
        </w:rPr>
        <w:t>GKtCC</w:t>
      </w:r>
      <w:proofErr w:type="spellEnd"/>
      <w:r w:rsidRPr="004F4EF6">
        <w:rPr>
          <w:sz w:val="24"/>
        </w:rPr>
        <w:t xml:space="preserve"> prediction method.  The RD-ANN-</w:t>
      </w:r>
      <w:proofErr w:type="spellStart"/>
      <w:r w:rsidRPr="004F4EF6">
        <w:rPr>
          <w:sz w:val="24"/>
        </w:rPr>
        <w:t>GKtCC</w:t>
      </w:r>
      <w:proofErr w:type="spellEnd"/>
      <w:r w:rsidRPr="004F4EF6">
        <w:rPr>
          <w:sz w:val="24"/>
        </w:rPr>
        <w:t xml:space="preserve"> method shows 18.6% improvement over </w:t>
      </w:r>
      <w:r w:rsidR="00910568">
        <w:rPr>
          <w:sz w:val="24"/>
        </w:rPr>
        <w:t xml:space="preserve">the </w:t>
      </w:r>
      <w:r w:rsidRPr="004F4EF6">
        <w:rPr>
          <w:sz w:val="24"/>
        </w:rPr>
        <w:t>clearness index persistence forecast of the expected irradiance variability.  The clearness index persistence, ANN-ALL and RD-ANN-</w:t>
      </w:r>
      <w:proofErr w:type="spellStart"/>
      <w:r w:rsidRPr="004F4EF6">
        <w:rPr>
          <w:sz w:val="24"/>
        </w:rPr>
        <w:t>GKtCC</w:t>
      </w:r>
      <w:proofErr w:type="spellEnd"/>
      <w:r w:rsidRPr="004F4EF6">
        <w:rPr>
          <w:sz w:val="24"/>
        </w:rPr>
        <w:t xml:space="preserve"> methods all show substantially lower errors than the average value of the clearness index variability, which was computed to be 0.092 for the test dataset. </w:t>
      </w:r>
    </w:p>
    <w:p w14:paraId="060CF8D8" w14:textId="5118898F" w:rsidR="00044C92" w:rsidRPr="000E5190" w:rsidRDefault="00D00713" w:rsidP="000E5190">
      <w:pPr>
        <w:pStyle w:val="Heading1"/>
      </w:pPr>
      <w:bookmarkStart w:id="20" w:name="_Toc304905593"/>
      <w:r>
        <w:t xml:space="preserve">7. </w:t>
      </w:r>
      <w:r w:rsidR="004A2116">
        <w:t>Discussion and Conclusions</w:t>
      </w:r>
      <w:bookmarkEnd w:id="20"/>
    </w:p>
    <w:p w14:paraId="3AB327D9" w14:textId="77777777"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t xml:space="preserve">In this study, we utilize surface weather observations, solar irradiance observations and GOES-East satellite data as inputs and predictors into regime-dependent techniques that first identify cloud regimes before fitting an ANN to predict clearness index.  This approach allows each ANN to focus on the forecast mission for a specific cloud type.  We find that a k-means cluster-based ANN method (RD-ANN </w:t>
      </w:r>
      <w:proofErr w:type="spellStart"/>
      <w:r w:rsidRPr="004F4EF6">
        <w:rPr>
          <w:rFonts w:ascii="Times New Roman" w:hAnsi="Times New Roman"/>
        </w:rPr>
        <w:t>GKtCC</w:t>
      </w:r>
      <w:proofErr w:type="spellEnd"/>
      <w:r w:rsidRPr="004F4EF6">
        <w:rPr>
          <w:rFonts w:ascii="Times New Roman" w:hAnsi="Times New Roman"/>
        </w:rPr>
        <w:t>) improves upon the forecasting performance of not only the baseline clearness index persistence, but also improves upon the forecasting performance of a global ANN for lead-times of 60-min, 120-min and 180-min. At the 15-min forecast lead-time, all RD-ANN methods mimicked the clearness index persistence, with the RD-ANN-</w:t>
      </w:r>
      <w:proofErr w:type="spellStart"/>
      <w:r w:rsidRPr="004F4EF6">
        <w:rPr>
          <w:rFonts w:ascii="Times New Roman" w:hAnsi="Times New Roman"/>
        </w:rPr>
        <w:t>GKtCC</w:t>
      </w:r>
      <w:proofErr w:type="spellEnd"/>
      <w:r w:rsidRPr="004F4EF6">
        <w:rPr>
          <w:rFonts w:ascii="Times New Roman" w:hAnsi="Times New Roman"/>
        </w:rPr>
        <w:t xml:space="preserve"> method managing to show a 1% gain in forecasting performance over clearness index persistence. </w:t>
      </w:r>
    </w:p>
    <w:p w14:paraId="060C7E36" w14:textId="39D12FE6"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t xml:space="preserve">The RD-ANN methods not only showed improved performance for deterministic clearness index predictions, but also for predicting clearness index variability.  A new </w:t>
      </w:r>
      <w:r w:rsidRPr="004F4EF6">
        <w:rPr>
          <w:rFonts w:ascii="Times New Roman" w:hAnsi="Times New Roman"/>
        </w:rPr>
        <w:lastRenderedPageBreak/>
        <w:t>version of the RD-ANN-</w:t>
      </w:r>
      <w:proofErr w:type="spellStart"/>
      <w:r w:rsidRPr="004F4EF6">
        <w:rPr>
          <w:rFonts w:ascii="Times New Roman" w:hAnsi="Times New Roman"/>
        </w:rPr>
        <w:t>GKtCC</w:t>
      </w:r>
      <w:proofErr w:type="spellEnd"/>
      <w:r w:rsidRPr="004F4EF6">
        <w:rPr>
          <w:rFonts w:ascii="Times New Roman" w:hAnsi="Times New Roman"/>
        </w:rPr>
        <w:t xml:space="preserve"> model trained to predict the variability of the clearness index over the next three hours showed substantial forecast error reduction compared to either using a variability persistence method or a global ANN.  Thus, the RD-ANN-</w:t>
      </w:r>
      <w:proofErr w:type="spellStart"/>
      <w:r w:rsidRPr="004F4EF6">
        <w:rPr>
          <w:rFonts w:ascii="Times New Roman" w:hAnsi="Times New Roman"/>
        </w:rPr>
        <w:t>GKtCC</w:t>
      </w:r>
      <w:proofErr w:type="spellEnd"/>
      <w:r w:rsidRPr="004F4EF6">
        <w:rPr>
          <w:rFonts w:ascii="Times New Roman" w:hAnsi="Times New Roman"/>
        </w:rPr>
        <w:t xml:space="preserve"> model is able to improve the prediction of the deterministic irradiance and its variability for short-range lead-times, given </w:t>
      </w:r>
      <w:r w:rsidR="00910568">
        <w:rPr>
          <w:rFonts w:ascii="Times New Roman" w:hAnsi="Times New Roman"/>
        </w:rPr>
        <w:t>sufficient</w:t>
      </w:r>
      <w:r w:rsidR="00910568" w:rsidRPr="004F4EF6">
        <w:rPr>
          <w:rFonts w:ascii="Times New Roman" w:hAnsi="Times New Roman"/>
        </w:rPr>
        <w:t xml:space="preserve"> </w:t>
      </w:r>
      <w:r w:rsidRPr="004F4EF6">
        <w:rPr>
          <w:rFonts w:ascii="Times New Roman" w:hAnsi="Times New Roman"/>
        </w:rPr>
        <w:t>training data.</w:t>
      </w:r>
    </w:p>
    <w:p w14:paraId="285290F2" w14:textId="29BF7696"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t xml:space="preserve">Although the RD-ANN methods show substantial performance gain for the Sacramento, CA (SMUD) sites that had a large training dataset, when the RD-ANN methods were trained to predict for a site on Long Island, NY (BNL) with its small training dataset, the complex models did not perform well on the independent test dataset.  In order to improve the forecasting methods at a site with a small amount of training data, the RD-ANN methods will likely </w:t>
      </w:r>
      <w:r w:rsidR="00910568">
        <w:rPr>
          <w:rFonts w:ascii="Times New Roman" w:hAnsi="Times New Roman"/>
        </w:rPr>
        <w:t>need</w:t>
      </w:r>
      <w:r w:rsidRPr="004F4EF6">
        <w:rPr>
          <w:rFonts w:ascii="Times New Roman" w:hAnsi="Times New Roman"/>
        </w:rPr>
        <w:t xml:space="preserve"> be tuned with a smaller predictor set and a simpler configuration to allow the method to model the true predictive relationships among the predictors.  The true predictive relationships in a small dataset are likely limited; therefore, future work can examine automatic ways of configuring RD-ANN systems depending on the amount of training data and number of available predictors.  A simpler configuration with fewer predictors could potentially avoid the problem of overfitting datasets too small (i.e. BNL) for using nonlinear models.  </w:t>
      </w:r>
    </w:p>
    <w:p w14:paraId="028F57A7" w14:textId="70DC3338" w:rsidR="00044C92" w:rsidRPr="004F4EF6"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t xml:space="preserve">Of the three RD-ANN methods tested, that which used a regime classification based on the cloud type derived variable in the GOES-East data performed the worst.  This outcome was likely due to a combination of </w:t>
      </w:r>
      <w:r w:rsidR="00B562B6">
        <w:rPr>
          <w:rFonts w:ascii="Times New Roman" w:hAnsi="Times New Roman"/>
        </w:rPr>
        <w:t>multiple</w:t>
      </w:r>
      <w:r w:rsidR="00B562B6" w:rsidRPr="004F4EF6">
        <w:rPr>
          <w:rFonts w:ascii="Times New Roman" w:hAnsi="Times New Roman"/>
        </w:rPr>
        <w:t xml:space="preserve"> </w:t>
      </w:r>
      <w:r w:rsidR="00B562B6">
        <w:rPr>
          <w:rFonts w:ascii="Times New Roman" w:hAnsi="Times New Roman"/>
        </w:rPr>
        <w:t>problems</w:t>
      </w:r>
      <w:r w:rsidR="00B562B6" w:rsidRPr="004F4EF6">
        <w:rPr>
          <w:rFonts w:ascii="Times New Roman" w:hAnsi="Times New Roman"/>
        </w:rPr>
        <w:t xml:space="preserve"> </w:t>
      </w:r>
      <w:r w:rsidRPr="004F4EF6">
        <w:rPr>
          <w:rFonts w:ascii="Times New Roman" w:hAnsi="Times New Roman"/>
        </w:rPr>
        <w:t xml:space="preserve">and </w:t>
      </w:r>
      <w:r w:rsidR="00B562B6">
        <w:rPr>
          <w:rFonts w:ascii="Times New Roman" w:hAnsi="Times New Roman"/>
        </w:rPr>
        <w:t>so yields several</w:t>
      </w:r>
      <w:r w:rsidRPr="004F4EF6">
        <w:rPr>
          <w:rFonts w:ascii="Times New Roman" w:hAnsi="Times New Roman"/>
        </w:rPr>
        <w:t xml:space="preserve"> ideas for future work.  First, the GOES-East algorithm derives cloud types based only on the satellite measured values.  Our ANN models are also provided predictors from surface weather observations and surface irradiance observations.  Therefore, the </w:t>
      </w:r>
      <w:r w:rsidRPr="004F4EF6">
        <w:rPr>
          <w:rFonts w:ascii="Times New Roman" w:hAnsi="Times New Roman"/>
        </w:rPr>
        <w:lastRenderedPageBreak/>
        <w:t xml:space="preserve">RD-ANN methods that use a combination of the available data are more likely to capture clusters that represent real predictive relationships the ANN is able to model.   The forecast error dependence on available predictors could be examined in future work by testing the forecasting skill of the RD-ANNs if the regime classification versions are the same, but the ANNs are only </w:t>
      </w:r>
      <w:r w:rsidR="00853BB6">
        <w:rPr>
          <w:rFonts w:ascii="Times New Roman" w:hAnsi="Times New Roman"/>
        </w:rPr>
        <w:t xml:space="preserve">provided </w:t>
      </w:r>
      <w:r w:rsidRPr="004F4EF6">
        <w:rPr>
          <w:rFonts w:ascii="Times New Roman" w:hAnsi="Times New Roman"/>
        </w:rPr>
        <w:t>the GOES-East measured variables.  Lastly, some of the cloud types are uncommon in the data, resulting in small training data subsets, and thus, giving the ANN model a higher likelihood of overfitting the available training data.</w:t>
      </w:r>
    </w:p>
    <w:p w14:paraId="515430AA" w14:textId="0E5836F1" w:rsidR="00044C92" w:rsidRDefault="00044C92" w:rsidP="001F3A08">
      <w:pPr>
        <w:pStyle w:val="ColorfulList-Accent11"/>
        <w:spacing w:line="480" w:lineRule="auto"/>
        <w:ind w:left="0" w:firstLine="720"/>
        <w:jc w:val="both"/>
        <w:rPr>
          <w:rFonts w:ascii="Times New Roman" w:hAnsi="Times New Roman"/>
        </w:rPr>
      </w:pPr>
      <w:r w:rsidRPr="004F4EF6">
        <w:rPr>
          <w:rFonts w:ascii="Times New Roman" w:hAnsi="Times New Roman"/>
        </w:rPr>
        <w:t>Although the complex RD-ANN models have shown impressive forecast improvements for the SMUD sites, the clearness index persistence method still performs best when the dataset is too small to effectively train an ANN.  Future work will look to quantify the amount of data required for the RD-ANN-</w:t>
      </w:r>
      <w:proofErr w:type="spellStart"/>
      <w:r w:rsidRPr="004F4EF6">
        <w:rPr>
          <w:rFonts w:ascii="Times New Roman" w:hAnsi="Times New Roman"/>
        </w:rPr>
        <w:t>GKtCC</w:t>
      </w:r>
      <w:proofErr w:type="spellEnd"/>
      <w:r w:rsidRPr="004F4EF6">
        <w:rPr>
          <w:rFonts w:ascii="Times New Roman" w:hAnsi="Times New Roman"/>
        </w:rPr>
        <w:t xml:space="preserve"> method to outperform a persistence-based approach.  Future work will also examine if using the GOES-West data could potentially provide additional predictors that would improve the forecasts from the RD-ANN models. </w:t>
      </w:r>
    </w:p>
    <w:p w14:paraId="61B4F29B" w14:textId="1F1D1EB9" w:rsidR="003D496A" w:rsidRPr="003D496A" w:rsidRDefault="003D496A" w:rsidP="003D496A">
      <w:pPr>
        <w:pStyle w:val="Heading1"/>
        <w:rPr>
          <w:szCs w:val="26"/>
        </w:rPr>
      </w:pPr>
      <w:r w:rsidRPr="003D496A">
        <w:rPr>
          <w:szCs w:val="26"/>
        </w:rPr>
        <w:t>Acknowledgements</w:t>
      </w:r>
    </w:p>
    <w:p w14:paraId="6ECE1133" w14:textId="14933581" w:rsidR="003D496A" w:rsidRPr="004F4EF6" w:rsidRDefault="003D496A" w:rsidP="00027619">
      <w:pPr>
        <w:jc w:val="both"/>
      </w:pPr>
      <w:r w:rsidRPr="00C87ABE">
        <w:rPr>
          <w:sz w:val="24"/>
        </w:rPr>
        <w:t xml:space="preserve">This material is based upon work supported by the U.S. Department of Energy under </w:t>
      </w:r>
      <w:proofErr w:type="spellStart"/>
      <w:r w:rsidR="00645BE1" w:rsidRPr="00C87ABE">
        <w:rPr>
          <w:sz w:val="24"/>
        </w:rPr>
        <w:t>Sun</w:t>
      </w:r>
      <w:r w:rsidR="00645BE1">
        <w:rPr>
          <w:sz w:val="24"/>
        </w:rPr>
        <w:t>shot</w:t>
      </w:r>
      <w:proofErr w:type="spellEnd"/>
      <w:r w:rsidR="00645BE1" w:rsidRPr="00C87ABE">
        <w:rPr>
          <w:sz w:val="24"/>
        </w:rPr>
        <w:t xml:space="preserve"> </w:t>
      </w:r>
      <w:r w:rsidRPr="00C87ABE">
        <w:rPr>
          <w:sz w:val="24"/>
        </w:rPr>
        <w:t xml:space="preserve">Award Number [DE-EE0006016] and </w:t>
      </w:r>
      <w:r w:rsidR="00645BE1">
        <w:rPr>
          <w:sz w:val="24"/>
        </w:rPr>
        <w:t xml:space="preserve">by </w:t>
      </w:r>
      <w:r w:rsidRPr="00C87ABE">
        <w:rPr>
          <w:sz w:val="24"/>
        </w:rPr>
        <w:t>the National Center for Atmospheric Research</w:t>
      </w:r>
      <w:r w:rsidR="00645BE1">
        <w:rPr>
          <w:sz w:val="24"/>
        </w:rPr>
        <w:t>, which is sponsored by the National Science Foundation</w:t>
      </w:r>
      <w:r w:rsidRPr="00C87ABE">
        <w:rPr>
          <w:sz w:val="24"/>
        </w:rPr>
        <w:t xml:space="preserve">. Funding was also provided </w:t>
      </w:r>
      <w:r w:rsidR="00853BB6">
        <w:rPr>
          <w:sz w:val="24"/>
        </w:rPr>
        <w:t xml:space="preserve">to LMH </w:t>
      </w:r>
      <w:r w:rsidRPr="00C87ABE">
        <w:rPr>
          <w:sz w:val="24"/>
        </w:rPr>
        <w:t xml:space="preserve">by NREL subcontract AGG-2-22256-01.  </w:t>
      </w:r>
      <w:r w:rsidR="00853BB6">
        <w:rPr>
          <w:sz w:val="24"/>
        </w:rPr>
        <w:t xml:space="preserve">We </w:t>
      </w:r>
      <w:r w:rsidRPr="00C87ABE">
        <w:rPr>
          <w:sz w:val="24"/>
        </w:rPr>
        <w:t xml:space="preserve">gratefully acknowledge all of the collaborators on the </w:t>
      </w:r>
      <w:proofErr w:type="spellStart"/>
      <w:r w:rsidRPr="00C87ABE">
        <w:rPr>
          <w:sz w:val="24"/>
        </w:rPr>
        <w:t>SunCast</w:t>
      </w:r>
      <w:proofErr w:type="spellEnd"/>
      <w:r w:rsidRPr="00C87ABE">
        <w:rPr>
          <w:sz w:val="24"/>
        </w:rPr>
        <w:t xml:space="preserve"> project for insightful discussions and ideas, including Seth Linden, Sheldon </w:t>
      </w:r>
      <w:proofErr w:type="spellStart"/>
      <w:r w:rsidRPr="00C87ABE">
        <w:rPr>
          <w:sz w:val="24"/>
        </w:rPr>
        <w:t>Drobot</w:t>
      </w:r>
      <w:proofErr w:type="spellEnd"/>
      <w:r w:rsidRPr="00C87ABE">
        <w:rPr>
          <w:sz w:val="24"/>
        </w:rPr>
        <w:t xml:space="preserve">, Jared Lee, Julia Pearson, David John </w:t>
      </w:r>
      <w:r w:rsidRPr="00C87ABE">
        <w:rPr>
          <w:sz w:val="24"/>
        </w:rPr>
        <w:lastRenderedPageBreak/>
        <w:t>Gagne and Tara Jensen.  This project would not have been possible without the data from the Sacramento Municipal Utility District and Brookhaven National Lab</w:t>
      </w:r>
      <w:r w:rsidR="00645BE1">
        <w:rPr>
          <w:sz w:val="24"/>
        </w:rPr>
        <w:t>oratory</w:t>
      </w:r>
      <w:r w:rsidRPr="00C87ABE">
        <w:rPr>
          <w:sz w:val="24"/>
        </w:rPr>
        <w:t xml:space="preserve">; and the help from Thomas </w:t>
      </w:r>
      <w:proofErr w:type="spellStart"/>
      <w:r w:rsidRPr="00C87ABE">
        <w:rPr>
          <w:sz w:val="24"/>
        </w:rPr>
        <w:t>Brummet</w:t>
      </w:r>
      <w:proofErr w:type="spellEnd"/>
      <w:r w:rsidRPr="00C87ABE">
        <w:rPr>
          <w:sz w:val="24"/>
        </w:rPr>
        <w:t xml:space="preserve"> at NCAR for the data quality control and processing.  Thanks go to Matt Rogers and Steve Miller for GOES-East data acquisition, discussion and quality control; and for intellectual conversations that led to innovative applications of satellite data in this study.</w:t>
      </w:r>
    </w:p>
    <w:p w14:paraId="2A8E1EDA" w14:textId="77777777" w:rsidR="009779D3" w:rsidRDefault="009779D3">
      <w:pPr>
        <w:tabs>
          <w:tab w:val="clear" w:pos="720"/>
        </w:tabs>
        <w:suppressAutoHyphens w:val="0"/>
        <w:spacing w:line="240" w:lineRule="auto"/>
        <w:ind w:firstLine="0"/>
        <w:rPr>
          <w:b/>
          <w:bCs/>
          <w:sz w:val="26"/>
          <w:szCs w:val="32"/>
        </w:rPr>
      </w:pPr>
      <w:bookmarkStart w:id="21" w:name="_Toc304905594"/>
      <w:r>
        <w:br w:type="page"/>
      </w:r>
    </w:p>
    <w:p w14:paraId="65E150ED" w14:textId="269E862C" w:rsidR="00044C92" w:rsidRPr="00306EEB" w:rsidRDefault="00044C92" w:rsidP="00B90E4D">
      <w:pPr>
        <w:pStyle w:val="Heading1"/>
      </w:pPr>
      <w:r w:rsidRPr="00306EEB">
        <w:lastRenderedPageBreak/>
        <w:t>References</w:t>
      </w:r>
      <w:bookmarkEnd w:id="21"/>
    </w:p>
    <w:p w14:paraId="3217C460" w14:textId="77777777" w:rsidR="00044C92" w:rsidRPr="00306EEB" w:rsidRDefault="00044C92" w:rsidP="004720AA">
      <w:pPr>
        <w:spacing w:line="240" w:lineRule="auto"/>
        <w:ind w:left="360" w:hanging="360"/>
        <w:jc w:val="both"/>
        <w:rPr>
          <w:szCs w:val="22"/>
        </w:rPr>
      </w:pPr>
      <w:proofErr w:type="spellStart"/>
      <w:r w:rsidRPr="00306EEB">
        <w:rPr>
          <w:szCs w:val="22"/>
        </w:rPr>
        <w:t>Almonacid</w:t>
      </w:r>
      <w:proofErr w:type="spellEnd"/>
      <w:r w:rsidRPr="00306EEB">
        <w:rPr>
          <w:szCs w:val="22"/>
        </w:rPr>
        <w:t>, F., Pérez-</w:t>
      </w:r>
      <w:proofErr w:type="spellStart"/>
      <w:r w:rsidRPr="00306EEB">
        <w:rPr>
          <w:szCs w:val="22"/>
        </w:rPr>
        <w:t>Higueras</w:t>
      </w:r>
      <w:proofErr w:type="spellEnd"/>
      <w:r w:rsidRPr="00306EEB">
        <w:rPr>
          <w:szCs w:val="22"/>
        </w:rPr>
        <w:t xml:space="preserve">, P. J., </w:t>
      </w:r>
      <w:proofErr w:type="spellStart"/>
      <w:r w:rsidRPr="00306EEB">
        <w:rPr>
          <w:szCs w:val="22"/>
        </w:rPr>
        <w:t>Fernández</w:t>
      </w:r>
      <w:proofErr w:type="spellEnd"/>
      <w:r w:rsidRPr="00306EEB">
        <w:rPr>
          <w:szCs w:val="22"/>
        </w:rPr>
        <w:t xml:space="preserve">, E. F., and </w:t>
      </w:r>
      <w:proofErr w:type="spellStart"/>
      <w:r w:rsidRPr="00306EEB">
        <w:rPr>
          <w:szCs w:val="22"/>
        </w:rPr>
        <w:t>Hontoria</w:t>
      </w:r>
      <w:proofErr w:type="spellEnd"/>
      <w:r w:rsidRPr="00306EEB">
        <w:rPr>
          <w:szCs w:val="22"/>
        </w:rPr>
        <w:t xml:space="preserve">, L., 2014: A methodology based on dynamic artificial neural network for short-term forecasting of the power output of a PV generator. </w:t>
      </w:r>
      <w:r w:rsidRPr="00306EEB">
        <w:rPr>
          <w:i/>
          <w:iCs/>
          <w:szCs w:val="22"/>
        </w:rPr>
        <w:t>Energy Conversion and Management</w:t>
      </w:r>
      <w:r w:rsidRPr="00306EEB">
        <w:rPr>
          <w:szCs w:val="22"/>
        </w:rPr>
        <w:t xml:space="preserve">, </w:t>
      </w:r>
      <w:r w:rsidRPr="00306EEB">
        <w:rPr>
          <w:b/>
          <w:i/>
          <w:iCs/>
          <w:szCs w:val="22"/>
        </w:rPr>
        <w:t>85</w:t>
      </w:r>
      <w:r w:rsidRPr="00306EEB">
        <w:rPr>
          <w:szCs w:val="22"/>
        </w:rPr>
        <w:t>, 389-398.</w:t>
      </w:r>
    </w:p>
    <w:p w14:paraId="54D55D62" w14:textId="77777777" w:rsidR="00044C92" w:rsidRPr="00306EEB" w:rsidRDefault="00044C92" w:rsidP="004720AA">
      <w:pPr>
        <w:spacing w:line="240" w:lineRule="auto"/>
        <w:ind w:left="360" w:hanging="360"/>
        <w:jc w:val="both"/>
        <w:rPr>
          <w:i/>
          <w:iCs/>
          <w:szCs w:val="22"/>
        </w:rPr>
      </w:pPr>
    </w:p>
    <w:p w14:paraId="186C4F85" w14:textId="77777777" w:rsidR="00044C92" w:rsidRPr="00306EEB" w:rsidRDefault="00044C92" w:rsidP="004720AA">
      <w:pPr>
        <w:spacing w:line="240" w:lineRule="auto"/>
        <w:ind w:left="360" w:hanging="360"/>
        <w:jc w:val="both"/>
        <w:rPr>
          <w:iCs/>
          <w:szCs w:val="22"/>
        </w:rPr>
      </w:pPr>
      <w:r w:rsidRPr="00306EEB">
        <w:rPr>
          <w:iCs/>
          <w:szCs w:val="22"/>
        </w:rPr>
        <w:t xml:space="preserve">Beyer, H. G., Costanzo, C., and D. Heinemann, 1996: Modifications of the </w:t>
      </w:r>
      <w:proofErr w:type="spellStart"/>
      <w:r w:rsidRPr="00306EEB">
        <w:rPr>
          <w:iCs/>
          <w:szCs w:val="22"/>
        </w:rPr>
        <w:t>Heliosat</w:t>
      </w:r>
      <w:proofErr w:type="spellEnd"/>
      <w:r w:rsidRPr="00306EEB">
        <w:rPr>
          <w:iCs/>
          <w:szCs w:val="22"/>
        </w:rPr>
        <w:t xml:space="preserve"> procedure for irradiance estimates from satellite data. </w:t>
      </w:r>
      <w:r w:rsidRPr="00306EEB">
        <w:rPr>
          <w:i/>
          <w:iCs/>
          <w:szCs w:val="22"/>
        </w:rPr>
        <w:t>Solar Energy</w:t>
      </w:r>
      <w:r w:rsidRPr="00306EEB">
        <w:rPr>
          <w:iCs/>
          <w:szCs w:val="22"/>
        </w:rPr>
        <w:t xml:space="preserve">, </w:t>
      </w:r>
      <w:r w:rsidRPr="00306EEB">
        <w:rPr>
          <w:b/>
          <w:iCs/>
          <w:szCs w:val="22"/>
        </w:rPr>
        <w:t>56</w:t>
      </w:r>
      <w:r w:rsidRPr="00306EEB">
        <w:rPr>
          <w:iCs/>
          <w:szCs w:val="22"/>
        </w:rPr>
        <w:t xml:space="preserve">, 121–207. </w:t>
      </w:r>
    </w:p>
    <w:p w14:paraId="0E336FC5" w14:textId="77777777" w:rsidR="00044C92" w:rsidRPr="00306EEB" w:rsidRDefault="00044C92" w:rsidP="004720AA">
      <w:pPr>
        <w:spacing w:line="240" w:lineRule="auto"/>
        <w:ind w:left="360" w:hanging="360"/>
        <w:jc w:val="both"/>
        <w:rPr>
          <w:iCs/>
          <w:szCs w:val="22"/>
        </w:rPr>
      </w:pPr>
    </w:p>
    <w:p w14:paraId="665392DC" w14:textId="77777777" w:rsidR="00044C92" w:rsidRPr="00306EEB" w:rsidRDefault="00044C92" w:rsidP="004720AA">
      <w:pPr>
        <w:spacing w:line="240" w:lineRule="auto"/>
        <w:ind w:left="360" w:hanging="360"/>
        <w:jc w:val="both"/>
        <w:rPr>
          <w:iCs/>
          <w:szCs w:val="22"/>
        </w:rPr>
      </w:pPr>
      <w:r w:rsidRPr="00306EEB">
        <w:rPr>
          <w:iCs/>
          <w:szCs w:val="22"/>
        </w:rPr>
        <w:t xml:space="preserve">Bhardwaj, S., Sharma, V., Srivastava, S., </w:t>
      </w:r>
      <w:proofErr w:type="spellStart"/>
      <w:r w:rsidRPr="00306EEB">
        <w:rPr>
          <w:iCs/>
          <w:szCs w:val="22"/>
        </w:rPr>
        <w:t>Sastry</w:t>
      </w:r>
      <w:proofErr w:type="spellEnd"/>
      <w:r w:rsidRPr="00306EEB">
        <w:rPr>
          <w:iCs/>
          <w:szCs w:val="22"/>
        </w:rPr>
        <w:t xml:space="preserve">, O. S., </w:t>
      </w:r>
      <w:proofErr w:type="spellStart"/>
      <w:r w:rsidRPr="00306EEB">
        <w:rPr>
          <w:iCs/>
          <w:szCs w:val="22"/>
        </w:rPr>
        <w:t>Bandyopadhyay</w:t>
      </w:r>
      <w:proofErr w:type="spellEnd"/>
      <w:r w:rsidRPr="00306EEB">
        <w:rPr>
          <w:iCs/>
          <w:szCs w:val="22"/>
        </w:rPr>
        <w:t xml:space="preserve">, B., </w:t>
      </w:r>
      <w:proofErr w:type="spellStart"/>
      <w:r w:rsidRPr="00306EEB">
        <w:rPr>
          <w:iCs/>
          <w:szCs w:val="22"/>
        </w:rPr>
        <w:t>Chandel</w:t>
      </w:r>
      <w:proofErr w:type="spellEnd"/>
      <w:r w:rsidRPr="00306EEB">
        <w:rPr>
          <w:iCs/>
          <w:szCs w:val="22"/>
        </w:rPr>
        <w:t xml:space="preserve">, S. S., and J. R. P. Gupta, 2013: Estimation of solar radiation using a combination of Hidden Markov Model and generalized Fuzzy model. </w:t>
      </w:r>
      <w:r w:rsidRPr="00306EEB">
        <w:rPr>
          <w:i/>
          <w:iCs/>
          <w:szCs w:val="22"/>
        </w:rPr>
        <w:t>Solar Energy</w:t>
      </w:r>
      <w:r w:rsidRPr="00306EEB">
        <w:rPr>
          <w:iCs/>
          <w:szCs w:val="22"/>
        </w:rPr>
        <w:t xml:space="preserve">, </w:t>
      </w:r>
      <w:r w:rsidRPr="00306EEB">
        <w:rPr>
          <w:b/>
          <w:i/>
          <w:iCs/>
          <w:szCs w:val="22"/>
        </w:rPr>
        <w:t>93</w:t>
      </w:r>
      <w:r w:rsidRPr="00306EEB">
        <w:rPr>
          <w:iCs/>
          <w:szCs w:val="22"/>
        </w:rPr>
        <w:t>, 43-54.</w:t>
      </w:r>
    </w:p>
    <w:p w14:paraId="2F35E7E7" w14:textId="77777777" w:rsidR="00044C92" w:rsidRPr="00306EEB" w:rsidRDefault="00044C92" w:rsidP="004720AA">
      <w:pPr>
        <w:spacing w:line="240" w:lineRule="auto"/>
        <w:ind w:left="360" w:hanging="360"/>
        <w:jc w:val="both"/>
        <w:rPr>
          <w:iCs/>
          <w:szCs w:val="22"/>
        </w:rPr>
      </w:pPr>
    </w:p>
    <w:p w14:paraId="420E4490" w14:textId="77777777" w:rsidR="00044C92" w:rsidRPr="00306EEB" w:rsidRDefault="00044C92" w:rsidP="004720AA">
      <w:pPr>
        <w:spacing w:line="240" w:lineRule="auto"/>
        <w:ind w:left="360" w:hanging="360"/>
        <w:jc w:val="both"/>
        <w:rPr>
          <w:iCs/>
          <w:szCs w:val="22"/>
        </w:rPr>
      </w:pPr>
      <w:proofErr w:type="spellStart"/>
      <w:r w:rsidRPr="00306EEB">
        <w:rPr>
          <w:iCs/>
          <w:szCs w:val="22"/>
        </w:rPr>
        <w:t>Bilionis</w:t>
      </w:r>
      <w:proofErr w:type="spellEnd"/>
      <w:r w:rsidRPr="00306EEB">
        <w:rPr>
          <w:iCs/>
          <w:szCs w:val="22"/>
        </w:rPr>
        <w:t xml:space="preserve">, I., Constantinescu, E. M., and M. </w:t>
      </w:r>
      <w:proofErr w:type="spellStart"/>
      <w:r w:rsidRPr="00306EEB">
        <w:rPr>
          <w:iCs/>
          <w:szCs w:val="22"/>
        </w:rPr>
        <w:t>Anitescu</w:t>
      </w:r>
      <w:proofErr w:type="spellEnd"/>
      <w:r w:rsidRPr="00306EEB">
        <w:rPr>
          <w:iCs/>
          <w:szCs w:val="22"/>
        </w:rPr>
        <w:t xml:space="preserve">, 2014: Data-driven model for solar irradiation based on satellite observations. </w:t>
      </w:r>
      <w:r w:rsidRPr="00306EEB">
        <w:rPr>
          <w:i/>
          <w:iCs/>
          <w:szCs w:val="22"/>
        </w:rPr>
        <w:t xml:space="preserve">Solar Energy, </w:t>
      </w:r>
      <w:r w:rsidRPr="00306EEB">
        <w:rPr>
          <w:b/>
          <w:iCs/>
          <w:szCs w:val="22"/>
        </w:rPr>
        <w:t>110</w:t>
      </w:r>
      <w:r w:rsidRPr="00306EEB">
        <w:rPr>
          <w:iCs/>
          <w:szCs w:val="22"/>
        </w:rPr>
        <w:t>, 22-38</w:t>
      </w:r>
      <w:r w:rsidRPr="00306EEB">
        <w:rPr>
          <w:i/>
          <w:iCs/>
          <w:szCs w:val="22"/>
        </w:rPr>
        <w:t>.</w:t>
      </w:r>
    </w:p>
    <w:p w14:paraId="38691244" w14:textId="77777777" w:rsidR="00044C92" w:rsidRPr="00306EEB" w:rsidRDefault="00044C92" w:rsidP="004720AA">
      <w:pPr>
        <w:spacing w:line="240" w:lineRule="auto"/>
        <w:ind w:left="360" w:hanging="360"/>
        <w:jc w:val="both"/>
        <w:rPr>
          <w:iCs/>
          <w:szCs w:val="22"/>
        </w:rPr>
      </w:pPr>
    </w:p>
    <w:p w14:paraId="31EE9F42" w14:textId="77777777" w:rsidR="00044C92" w:rsidRPr="00306EEB" w:rsidRDefault="00044C92" w:rsidP="004720AA">
      <w:pPr>
        <w:spacing w:line="240" w:lineRule="auto"/>
        <w:ind w:left="360" w:hanging="360"/>
        <w:jc w:val="both"/>
        <w:rPr>
          <w:szCs w:val="22"/>
        </w:rPr>
      </w:pPr>
      <w:proofErr w:type="spellStart"/>
      <w:r w:rsidRPr="00306EEB">
        <w:rPr>
          <w:iCs/>
          <w:szCs w:val="22"/>
        </w:rPr>
        <w:t>Bouzerdoum</w:t>
      </w:r>
      <w:proofErr w:type="spellEnd"/>
      <w:r w:rsidRPr="00306EEB">
        <w:rPr>
          <w:iCs/>
          <w:szCs w:val="22"/>
        </w:rPr>
        <w:t xml:space="preserve">, M., Mellit, A., and A. </w:t>
      </w:r>
      <w:proofErr w:type="spellStart"/>
      <w:r w:rsidRPr="00306EEB">
        <w:rPr>
          <w:iCs/>
          <w:szCs w:val="22"/>
        </w:rPr>
        <w:t>Massi</w:t>
      </w:r>
      <w:proofErr w:type="spellEnd"/>
      <w:r w:rsidRPr="00306EEB">
        <w:rPr>
          <w:iCs/>
          <w:szCs w:val="22"/>
        </w:rPr>
        <w:t xml:space="preserve"> </w:t>
      </w:r>
      <w:proofErr w:type="spellStart"/>
      <w:r w:rsidRPr="00306EEB">
        <w:rPr>
          <w:iCs/>
          <w:szCs w:val="22"/>
        </w:rPr>
        <w:t>Pavan</w:t>
      </w:r>
      <w:proofErr w:type="spellEnd"/>
      <w:r w:rsidRPr="00306EEB">
        <w:rPr>
          <w:iCs/>
          <w:szCs w:val="22"/>
        </w:rPr>
        <w:t xml:space="preserve">, 2013: A hybrid model (SARIMA-SVM) for short-term power forecasting of a small-scale grid-connected photovoltaic plant. </w:t>
      </w:r>
      <w:r w:rsidRPr="00306EEB">
        <w:rPr>
          <w:i/>
          <w:iCs/>
          <w:szCs w:val="22"/>
        </w:rPr>
        <w:t>Solar Energy</w:t>
      </w:r>
      <w:r w:rsidRPr="00306EEB">
        <w:rPr>
          <w:iCs/>
          <w:szCs w:val="22"/>
        </w:rPr>
        <w:t xml:space="preserve">, </w:t>
      </w:r>
      <w:r w:rsidRPr="00306EEB">
        <w:rPr>
          <w:b/>
          <w:iCs/>
          <w:szCs w:val="22"/>
        </w:rPr>
        <w:t>98</w:t>
      </w:r>
      <w:r w:rsidRPr="00306EEB">
        <w:rPr>
          <w:iCs/>
          <w:szCs w:val="22"/>
        </w:rPr>
        <w:t>, 226-235.</w:t>
      </w:r>
    </w:p>
    <w:p w14:paraId="2A6077AD" w14:textId="77777777" w:rsidR="00044C92" w:rsidRPr="00306EEB" w:rsidRDefault="00044C92" w:rsidP="004720AA">
      <w:pPr>
        <w:spacing w:line="240" w:lineRule="auto"/>
        <w:jc w:val="both"/>
        <w:rPr>
          <w:rStyle w:val="apple-style-span"/>
          <w:szCs w:val="22"/>
        </w:rPr>
      </w:pPr>
    </w:p>
    <w:p w14:paraId="51DBF360" w14:textId="77777777" w:rsidR="00044C92" w:rsidRPr="00306EEB" w:rsidRDefault="00044C92" w:rsidP="004720AA">
      <w:pPr>
        <w:spacing w:line="240" w:lineRule="auto"/>
        <w:ind w:left="360" w:hanging="360"/>
        <w:jc w:val="both"/>
        <w:rPr>
          <w:rStyle w:val="apple-style-span"/>
          <w:szCs w:val="22"/>
        </w:rPr>
      </w:pPr>
      <w:r w:rsidRPr="00306EEB">
        <w:rPr>
          <w:rStyle w:val="apple-style-span"/>
          <w:szCs w:val="22"/>
        </w:rPr>
        <w:t xml:space="preserve">Chow, C. W., Urquhart, N., Lave, M., Dominquez, A., </w:t>
      </w:r>
      <w:proofErr w:type="spellStart"/>
      <w:r w:rsidRPr="00306EEB">
        <w:rPr>
          <w:rStyle w:val="apple-style-span"/>
          <w:szCs w:val="22"/>
        </w:rPr>
        <w:t>Kleissl</w:t>
      </w:r>
      <w:proofErr w:type="spellEnd"/>
      <w:r w:rsidRPr="00306EEB">
        <w:rPr>
          <w:rStyle w:val="apple-style-span"/>
          <w:szCs w:val="22"/>
        </w:rPr>
        <w:t xml:space="preserve">, J., Shields, J., and B. </w:t>
      </w:r>
      <w:proofErr w:type="spellStart"/>
      <w:r w:rsidRPr="00306EEB">
        <w:rPr>
          <w:rStyle w:val="apple-style-span"/>
          <w:szCs w:val="22"/>
        </w:rPr>
        <w:t>Washom</w:t>
      </w:r>
      <w:proofErr w:type="spellEnd"/>
      <w:r w:rsidRPr="00306EEB">
        <w:rPr>
          <w:rStyle w:val="apple-style-span"/>
          <w:szCs w:val="22"/>
        </w:rPr>
        <w:t xml:space="preserve">, 2011: Intra-hour forecasting with a total sky imager at the UC San Diego solar energy testbed. </w:t>
      </w:r>
      <w:r w:rsidRPr="00306EEB">
        <w:rPr>
          <w:rStyle w:val="apple-style-span"/>
          <w:i/>
          <w:szCs w:val="22"/>
        </w:rPr>
        <w:t>Solar Energy</w:t>
      </w:r>
      <w:r w:rsidRPr="00306EEB">
        <w:rPr>
          <w:rStyle w:val="apple-style-span"/>
          <w:szCs w:val="22"/>
        </w:rPr>
        <w:t xml:space="preserve">, </w:t>
      </w:r>
      <w:r w:rsidRPr="00306EEB">
        <w:rPr>
          <w:rStyle w:val="apple-style-span"/>
          <w:b/>
          <w:szCs w:val="22"/>
        </w:rPr>
        <w:t>85</w:t>
      </w:r>
      <w:r w:rsidRPr="00306EEB">
        <w:rPr>
          <w:rStyle w:val="apple-style-span"/>
          <w:szCs w:val="22"/>
        </w:rPr>
        <w:t>, 2881-2893.</w:t>
      </w:r>
    </w:p>
    <w:p w14:paraId="7E14874F" w14:textId="77777777" w:rsidR="00044C92" w:rsidRPr="00306EEB" w:rsidRDefault="00044C92" w:rsidP="004720AA">
      <w:pPr>
        <w:spacing w:line="240" w:lineRule="auto"/>
        <w:ind w:left="360" w:hanging="360"/>
        <w:jc w:val="both"/>
        <w:rPr>
          <w:rStyle w:val="apple-style-span"/>
          <w:szCs w:val="22"/>
        </w:rPr>
      </w:pPr>
    </w:p>
    <w:p w14:paraId="7497CEF1" w14:textId="77777777" w:rsidR="00044C92" w:rsidRPr="00306EEB" w:rsidRDefault="00044C92" w:rsidP="004720AA">
      <w:pPr>
        <w:spacing w:line="240" w:lineRule="auto"/>
        <w:ind w:left="360" w:hanging="360"/>
        <w:jc w:val="both"/>
        <w:rPr>
          <w:rStyle w:val="apple-style-span"/>
          <w:szCs w:val="22"/>
        </w:rPr>
      </w:pPr>
      <w:r w:rsidRPr="00306EEB">
        <w:rPr>
          <w:szCs w:val="22"/>
        </w:rPr>
        <w:t xml:space="preserve">Chu, Y., H. Pedro, and C.F.M. Coimbra, 2013: Hybrid intra-hour DNI forecasts with sky image processing enhanced by stochastic learning. </w:t>
      </w:r>
      <w:r w:rsidRPr="00306EEB">
        <w:rPr>
          <w:i/>
          <w:szCs w:val="22"/>
        </w:rPr>
        <w:t>Solar Energy</w:t>
      </w:r>
      <w:r w:rsidRPr="00306EEB">
        <w:rPr>
          <w:szCs w:val="22"/>
        </w:rPr>
        <w:t xml:space="preserve">, </w:t>
      </w:r>
      <w:r w:rsidRPr="00306EEB">
        <w:rPr>
          <w:b/>
          <w:szCs w:val="22"/>
        </w:rPr>
        <w:t>98</w:t>
      </w:r>
      <w:r w:rsidRPr="00306EEB">
        <w:rPr>
          <w:szCs w:val="22"/>
        </w:rPr>
        <w:t>, 592-603.</w:t>
      </w:r>
    </w:p>
    <w:p w14:paraId="7EEAED75" w14:textId="77777777" w:rsidR="00044C92" w:rsidRPr="00306EEB" w:rsidRDefault="00044C92" w:rsidP="004720AA">
      <w:pPr>
        <w:spacing w:line="240" w:lineRule="auto"/>
        <w:ind w:left="360" w:hanging="360"/>
        <w:jc w:val="both"/>
        <w:rPr>
          <w:rStyle w:val="apple-style-span"/>
          <w:szCs w:val="22"/>
        </w:rPr>
      </w:pPr>
    </w:p>
    <w:p w14:paraId="15A48FBA" w14:textId="77777777" w:rsidR="00044C92" w:rsidRPr="00306EEB" w:rsidRDefault="00044C92" w:rsidP="004720AA">
      <w:pPr>
        <w:spacing w:line="240" w:lineRule="auto"/>
        <w:ind w:left="360" w:hanging="360"/>
        <w:jc w:val="both"/>
        <w:rPr>
          <w:rStyle w:val="apple-style-span"/>
          <w:szCs w:val="22"/>
        </w:rPr>
      </w:pPr>
      <w:r w:rsidRPr="00306EEB">
        <w:rPr>
          <w:rStyle w:val="apple-style-span"/>
          <w:szCs w:val="22"/>
        </w:rPr>
        <w:t xml:space="preserve">Chu, Y., Pedro, H.T.C., Li, M., and C.F.M. Coimbra, 2015: Real-time forecasting of solar irradiance ramps with smart image processing. </w:t>
      </w:r>
      <w:r w:rsidRPr="00306EEB">
        <w:rPr>
          <w:rStyle w:val="apple-style-span"/>
          <w:i/>
          <w:szCs w:val="22"/>
        </w:rPr>
        <w:t>Solar Energy</w:t>
      </w:r>
      <w:r w:rsidRPr="00306EEB">
        <w:rPr>
          <w:rStyle w:val="apple-style-span"/>
          <w:szCs w:val="22"/>
        </w:rPr>
        <w:t xml:space="preserve">, </w:t>
      </w:r>
      <w:r w:rsidRPr="00306EEB">
        <w:rPr>
          <w:rStyle w:val="apple-style-span"/>
          <w:b/>
          <w:szCs w:val="22"/>
        </w:rPr>
        <w:t>114</w:t>
      </w:r>
      <w:r w:rsidRPr="00306EEB">
        <w:rPr>
          <w:rStyle w:val="apple-style-span"/>
          <w:szCs w:val="22"/>
        </w:rPr>
        <w:t>, 91-104.</w:t>
      </w:r>
    </w:p>
    <w:p w14:paraId="652A8D89" w14:textId="77777777" w:rsidR="00044C92" w:rsidRPr="00306EEB" w:rsidRDefault="00044C92" w:rsidP="004720AA">
      <w:pPr>
        <w:spacing w:line="240" w:lineRule="auto"/>
        <w:ind w:left="360" w:hanging="360"/>
        <w:jc w:val="both"/>
        <w:rPr>
          <w:rStyle w:val="apple-style-span"/>
          <w:szCs w:val="22"/>
        </w:rPr>
      </w:pPr>
    </w:p>
    <w:p w14:paraId="2C84BF1A" w14:textId="77777777" w:rsidR="00044C92" w:rsidRPr="00306EEB" w:rsidRDefault="00044C92" w:rsidP="004720AA">
      <w:pPr>
        <w:spacing w:line="240" w:lineRule="auto"/>
        <w:ind w:left="360" w:hanging="360"/>
        <w:jc w:val="both"/>
        <w:rPr>
          <w:rStyle w:val="apple-style-span"/>
          <w:szCs w:val="22"/>
        </w:rPr>
      </w:pPr>
      <w:proofErr w:type="spellStart"/>
      <w:r w:rsidRPr="00306EEB">
        <w:rPr>
          <w:szCs w:val="22"/>
        </w:rPr>
        <w:t>Cros</w:t>
      </w:r>
      <w:proofErr w:type="spellEnd"/>
      <w:r w:rsidRPr="00306EEB">
        <w:rPr>
          <w:szCs w:val="22"/>
        </w:rPr>
        <w:t xml:space="preserve">, S., </w:t>
      </w:r>
      <w:proofErr w:type="spellStart"/>
      <w:r w:rsidRPr="00306EEB">
        <w:rPr>
          <w:szCs w:val="22"/>
        </w:rPr>
        <w:t>Liandrat</w:t>
      </w:r>
      <w:proofErr w:type="spellEnd"/>
      <w:r w:rsidRPr="00306EEB">
        <w:rPr>
          <w:szCs w:val="22"/>
        </w:rPr>
        <w:t xml:space="preserve">, O., </w:t>
      </w:r>
      <w:proofErr w:type="spellStart"/>
      <w:r w:rsidRPr="00306EEB">
        <w:rPr>
          <w:szCs w:val="22"/>
        </w:rPr>
        <w:t>Sébastien</w:t>
      </w:r>
      <w:proofErr w:type="spellEnd"/>
      <w:r w:rsidRPr="00306EEB">
        <w:rPr>
          <w:szCs w:val="22"/>
        </w:rPr>
        <w:t xml:space="preserve">, N., and N. Schmutz, 2014: Extracting cloud motion vectors from satellite images for solar power forecasting. </w:t>
      </w:r>
      <w:r w:rsidRPr="00306EEB">
        <w:rPr>
          <w:i/>
          <w:iCs/>
          <w:szCs w:val="22"/>
        </w:rPr>
        <w:t>Geoscience and Remote Sensing Symposium (IGARSS), 2014 IEEE International</w:t>
      </w:r>
      <w:r w:rsidRPr="00306EEB">
        <w:rPr>
          <w:szCs w:val="22"/>
        </w:rPr>
        <w:t>, 4123-4126.</w:t>
      </w:r>
    </w:p>
    <w:p w14:paraId="7BA4055C" w14:textId="77777777" w:rsidR="00044C92" w:rsidRPr="00306EEB" w:rsidRDefault="00044C92" w:rsidP="004720AA">
      <w:pPr>
        <w:spacing w:line="240" w:lineRule="auto"/>
        <w:jc w:val="both"/>
        <w:rPr>
          <w:szCs w:val="22"/>
        </w:rPr>
      </w:pPr>
    </w:p>
    <w:p w14:paraId="5E6E8E1C" w14:textId="77777777" w:rsidR="00044C92" w:rsidRPr="00306EEB" w:rsidRDefault="00044C92" w:rsidP="004720AA">
      <w:pPr>
        <w:spacing w:line="240" w:lineRule="auto"/>
        <w:ind w:left="360" w:hanging="360"/>
        <w:jc w:val="both"/>
        <w:rPr>
          <w:szCs w:val="22"/>
        </w:rPr>
      </w:pPr>
      <w:proofErr w:type="spellStart"/>
      <w:r w:rsidRPr="00306EEB">
        <w:rPr>
          <w:szCs w:val="22"/>
        </w:rPr>
        <w:t>Diagne</w:t>
      </w:r>
      <w:proofErr w:type="spellEnd"/>
      <w:r w:rsidRPr="00306EEB">
        <w:rPr>
          <w:szCs w:val="22"/>
        </w:rPr>
        <w:t xml:space="preserve">, M., David, M., </w:t>
      </w:r>
      <w:proofErr w:type="spellStart"/>
      <w:r w:rsidRPr="00306EEB">
        <w:rPr>
          <w:szCs w:val="22"/>
        </w:rPr>
        <w:t>Lauret</w:t>
      </w:r>
      <w:proofErr w:type="spellEnd"/>
      <w:r w:rsidRPr="00306EEB">
        <w:rPr>
          <w:szCs w:val="22"/>
        </w:rPr>
        <w:t xml:space="preserve">, P., Boland, J., and N. Schmutz, 2013: Review of solar irradiance forecasting methods and a proposition for small-scale insular grids. </w:t>
      </w:r>
      <w:r w:rsidRPr="00306EEB">
        <w:rPr>
          <w:i/>
          <w:iCs/>
          <w:szCs w:val="22"/>
        </w:rPr>
        <w:t>Renewable and Sustainable Energy Reviews</w:t>
      </w:r>
      <w:r w:rsidRPr="00306EEB">
        <w:rPr>
          <w:szCs w:val="22"/>
        </w:rPr>
        <w:t xml:space="preserve">, </w:t>
      </w:r>
      <w:r w:rsidRPr="00306EEB">
        <w:rPr>
          <w:b/>
          <w:iCs/>
          <w:szCs w:val="22"/>
        </w:rPr>
        <w:t>27</w:t>
      </w:r>
      <w:r w:rsidRPr="00306EEB">
        <w:rPr>
          <w:szCs w:val="22"/>
        </w:rPr>
        <w:t>, 65-76.</w:t>
      </w:r>
    </w:p>
    <w:p w14:paraId="524EB365" w14:textId="77777777" w:rsidR="00044C92" w:rsidRPr="00306EEB" w:rsidRDefault="00044C92" w:rsidP="004720AA">
      <w:pPr>
        <w:spacing w:line="240" w:lineRule="auto"/>
        <w:ind w:left="360" w:hanging="360"/>
        <w:jc w:val="both"/>
        <w:rPr>
          <w:rStyle w:val="apple-style-span"/>
          <w:szCs w:val="22"/>
        </w:rPr>
      </w:pPr>
    </w:p>
    <w:p w14:paraId="304500C2" w14:textId="77777777" w:rsidR="00044C92" w:rsidRPr="00306EEB" w:rsidRDefault="00044C92" w:rsidP="004720AA">
      <w:pPr>
        <w:spacing w:line="240" w:lineRule="auto"/>
        <w:ind w:left="360" w:hanging="360"/>
        <w:jc w:val="both"/>
        <w:rPr>
          <w:szCs w:val="22"/>
        </w:rPr>
      </w:pPr>
      <w:r w:rsidRPr="00306EEB">
        <w:rPr>
          <w:szCs w:val="22"/>
        </w:rPr>
        <w:t xml:space="preserve">Fernandez, E., F. </w:t>
      </w:r>
      <w:proofErr w:type="spellStart"/>
      <w:r w:rsidRPr="00306EEB">
        <w:rPr>
          <w:szCs w:val="22"/>
        </w:rPr>
        <w:t>Almonacid</w:t>
      </w:r>
      <w:proofErr w:type="spellEnd"/>
      <w:r w:rsidRPr="00306EEB">
        <w:rPr>
          <w:szCs w:val="22"/>
        </w:rPr>
        <w:t xml:space="preserve">, N. </w:t>
      </w:r>
      <w:proofErr w:type="spellStart"/>
      <w:r w:rsidRPr="00306EEB">
        <w:rPr>
          <w:szCs w:val="22"/>
        </w:rPr>
        <w:t>Sarmah</w:t>
      </w:r>
      <w:proofErr w:type="spellEnd"/>
      <w:r w:rsidRPr="00306EEB">
        <w:rPr>
          <w:szCs w:val="22"/>
        </w:rPr>
        <w:t xml:space="preserve">, P. Rodrigo, T.K. </w:t>
      </w:r>
      <w:proofErr w:type="spellStart"/>
      <w:r w:rsidRPr="00306EEB">
        <w:rPr>
          <w:szCs w:val="22"/>
        </w:rPr>
        <w:t>Mallick</w:t>
      </w:r>
      <w:proofErr w:type="spellEnd"/>
      <w:r w:rsidRPr="00306EEB">
        <w:rPr>
          <w:szCs w:val="22"/>
        </w:rPr>
        <w:t>, and P Perez-</w:t>
      </w:r>
      <w:proofErr w:type="spellStart"/>
      <w:r w:rsidRPr="00306EEB">
        <w:rPr>
          <w:szCs w:val="22"/>
        </w:rPr>
        <w:t>Higueras</w:t>
      </w:r>
      <w:proofErr w:type="spellEnd"/>
      <w:r w:rsidRPr="00306EEB">
        <w:rPr>
          <w:szCs w:val="22"/>
        </w:rPr>
        <w:t xml:space="preserve">, 2014: A model based on artificial neuronal network for the prediction of the maximum power of a low concentration photovoltaic module for building integration. </w:t>
      </w:r>
      <w:r w:rsidRPr="00306EEB">
        <w:rPr>
          <w:i/>
          <w:szCs w:val="22"/>
        </w:rPr>
        <w:t>Solar Energy</w:t>
      </w:r>
      <w:r w:rsidRPr="00306EEB">
        <w:rPr>
          <w:szCs w:val="22"/>
        </w:rPr>
        <w:t xml:space="preserve">, </w:t>
      </w:r>
      <w:r w:rsidRPr="00306EEB">
        <w:rPr>
          <w:b/>
          <w:szCs w:val="22"/>
        </w:rPr>
        <w:t>100</w:t>
      </w:r>
      <w:r w:rsidRPr="00306EEB">
        <w:rPr>
          <w:szCs w:val="22"/>
        </w:rPr>
        <w:t>, 148-158.</w:t>
      </w:r>
    </w:p>
    <w:p w14:paraId="623AEEDD" w14:textId="77777777" w:rsidR="00044C92" w:rsidRPr="00306EEB" w:rsidRDefault="00044C92" w:rsidP="004720AA">
      <w:pPr>
        <w:spacing w:line="240" w:lineRule="auto"/>
        <w:ind w:left="360" w:hanging="360"/>
        <w:jc w:val="both"/>
        <w:rPr>
          <w:rStyle w:val="apple-style-span"/>
          <w:szCs w:val="22"/>
        </w:rPr>
      </w:pPr>
    </w:p>
    <w:p w14:paraId="09EA6CB4" w14:textId="77777777" w:rsidR="00044C92" w:rsidRPr="00306EEB" w:rsidRDefault="00044C92" w:rsidP="004720AA">
      <w:pPr>
        <w:spacing w:line="240" w:lineRule="auto"/>
        <w:ind w:left="360" w:hanging="360"/>
        <w:jc w:val="both"/>
        <w:rPr>
          <w:szCs w:val="22"/>
        </w:rPr>
      </w:pPr>
      <w:r w:rsidRPr="00306EEB">
        <w:rPr>
          <w:szCs w:val="22"/>
        </w:rPr>
        <w:t xml:space="preserve">Fu, C-L., and H-Y. Cheng, 2013: Predicting solar irradiance with all-sky image features via regression. </w:t>
      </w:r>
      <w:r w:rsidRPr="00306EEB">
        <w:rPr>
          <w:i/>
          <w:szCs w:val="22"/>
        </w:rPr>
        <w:t xml:space="preserve">Solar Energy, </w:t>
      </w:r>
      <w:r w:rsidRPr="00306EEB">
        <w:rPr>
          <w:b/>
          <w:szCs w:val="22"/>
        </w:rPr>
        <w:t>97</w:t>
      </w:r>
      <w:r w:rsidRPr="00306EEB">
        <w:rPr>
          <w:szCs w:val="22"/>
        </w:rPr>
        <w:t>, 537-550.</w:t>
      </w:r>
    </w:p>
    <w:p w14:paraId="0158F5C2" w14:textId="77777777" w:rsidR="00044C92" w:rsidRPr="00306EEB" w:rsidRDefault="00044C92" w:rsidP="004720AA">
      <w:pPr>
        <w:spacing w:line="240" w:lineRule="auto"/>
        <w:ind w:left="360" w:hanging="360"/>
        <w:jc w:val="both"/>
        <w:rPr>
          <w:szCs w:val="22"/>
        </w:rPr>
      </w:pPr>
    </w:p>
    <w:p w14:paraId="4CD8C813" w14:textId="77777777" w:rsidR="00044C92" w:rsidRDefault="00044C92" w:rsidP="004720AA">
      <w:pPr>
        <w:spacing w:line="240" w:lineRule="auto"/>
        <w:ind w:left="360" w:hanging="360"/>
        <w:jc w:val="both"/>
        <w:rPr>
          <w:szCs w:val="22"/>
        </w:rPr>
      </w:pPr>
      <w:r w:rsidRPr="00306EEB">
        <w:rPr>
          <w:szCs w:val="22"/>
        </w:rPr>
        <w:t xml:space="preserve">Hammer, A., Heinemann, D., Lorenz, E., and B. </w:t>
      </w:r>
      <w:proofErr w:type="spellStart"/>
      <w:r w:rsidRPr="00306EEB">
        <w:rPr>
          <w:szCs w:val="22"/>
        </w:rPr>
        <w:t>Lückehe</w:t>
      </w:r>
      <w:proofErr w:type="spellEnd"/>
      <w:r w:rsidRPr="00306EEB">
        <w:rPr>
          <w:szCs w:val="22"/>
        </w:rPr>
        <w:t xml:space="preserve">, 1999: Short-term forecasting of solar radiation: a statistical approach using satellite data. </w:t>
      </w:r>
      <w:r w:rsidRPr="00306EEB">
        <w:rPr>
          <w:i/>
          <w:iCs/>
          <w:szCs w:val="22"/>
        </w:rPr>
        <w:t>Solar Energy</w:t>
      </w:r>
      <w:r w:rsidRPr="00306EEB">
        <w:rPr>
          <w:szCs w:val="22"/>
        </w:rPr>
        <w:t xml:space="preserve">, </w:t>
      </w:r>
      <w:r w:rsidRPr="00306EEB">
        <w:rPr>
          <w:b/>
          <w:iCs/>
          <w:szCs w:val="22"/>
        </w:rPr>
        <w:t>67</w:t>
      </w:r>
      <w:r w:rsidRPr="00306EEB">
        <w:rPr>
          <w:szCs w:val="22"/>
        </w:rPr>
        <w:t>:1, 139-150.</w:t>
      </w:r>
    </w:p>
    <w:p w14:paraId="6315E5F1" w14:textId="77777777" w:rsidR="008F5C65" w:rsidRDefault="008F5C65" w:rsidP="004720AA">
      <w:pPr>
        <w:spacing w:line="240" w:lineRule="auto"/>
        <w:ind w:left="360" w:hanging="360"/>
        <w:jc w:val="both"/>
        <w:rPr>
          <w:szCs w:val="22"/>
        </w:rPr>
      </w:pPr>
    </w:p>
    <w:p w14:paraId="65B8A074" w14:textId="70B73999" w:rsidR="008F5C65" w:rsidRPr="008F5C65" w:rsidRDefault="008F5C65" w:rsidP="008F5C65">
      <w:pPr>
        <w:spacing w:line="240" w:lineRule="auto"/>
        <w:ind w:left="360" w:hanging="360"/>
        <w:jc w:val="both"/>
        <w:rPr>
          <w:szCs w:val="22"/>
        </w:rPr>
      </w:pPr>
      <w:proofErr w:type="spellStart"/>
      <w:r w:rsidRPr="008F5C65">
        <w:rPr>
          <w:szCs w:val="22"/>
        </w:rPr>
        <w:lastRenderedPageBreak/>
        <w:t>Heidinger</w:t>
      </w:r>
      <w:proofErr w:type="spellEnd"/>
      <w:r w:rsidRPr="008F5C65">
        <w:rPr>
          <w:szCs w:val="22"/>
        </w:rPr>
        <w:t>, A. K., M. J Foster, A. Walther and X. Zhao, 2013: </w:t>
      </w:r>
      <w:r w:rsidRPr="008F5C65">
        <w:rPr>
          <w:bCs/>
          <w:iCs/>
          <w:szCs w:val="22"/>
        </w:rPr>
        <w:t>The Pathfinder Atmospheres Extended (PATMOS-x) AVHRR Climate Data Se</w:t>
      </w:r>
      <w:r w:rsidRPr="008F5C65">
        <w:rPr>
          <w:b/>
          <w:bCs/>
          <w:iCs/>
          <w:szCs w:val="22"/>
        </w:rPr>
        <w:t>t.</w:t>
      </w:r>
      <w:r w:rsidRPr="008F5C65">
        <w:rPr>
          <w:szCs w:val="22"/>
        </w:rPr>
        <w:t xml:space="preserve"> Bull. Amer. Meteor. </w:t>
      </w:r>
      <w:proofErr w:type="spellStart"/>
      <w:r w:rsidRPr="008F5C65">
        <w:rPr>
          <w:szCs w:val="22"/>
        </w:rPr>
        <w:t>Soc</w:t>
      </w:r>
      <w:proofErr w:type="spellEnd"/>
      <w:r w:rsidRPr="008F5C65">
        <w:rPr>
          <w:szCs w:val="22"/>
        </w:rPr>
        <w:t xml:space="preserve">, </w:t>
      </w:r>
    </w:p>
    <w:p w14:paraId="33806E60" w14:textId="77777777" w:rsidR="00044C92" w:rsidRPr="00306EEB" w:rsidRDefault="00044C92" w:rsidP="008F5C65">
      <w:pPr>
        <w:spacing w:line="240" w:lineRule="auto"/>
        <w:ind w:firstLine="0"/>
        <w:jc w:val="both"/>
        <w:rPr>
          <w:rStyle w:val="apple-style-span"/>
          <w:szCs w:val="22"/>
        </w:rPr>
      </w:pPr>
    </w:p>
    <w:p w14:paraId="61172646" w14:textId="77777777" w:rsidR="00044C92" w:rsidRPr="00306EEB" w:rsidRDefault="00044C92" w:rsidP="004720AA">
      <w:pPr>
        <w:spacing w:line="240" w:lineRule="auto"/>
        <w:ind w:left="360" w:hanging="360"/>
        <w:jc w:val="both"/>
        <w:rPr>
          <w:rStyle w:val="apple-style-span"/>
          <w:szCs w:val="22"/>
        </w:rPr>
      </w:pPr>
      <w:proofErr w:type="spellStart"/>
      <w:r w:rsidRPr="00306EEB">
        <w:rPr>
          <w:rStyle w:val="apple-style-span"/>
          <w:szCs w:val="22"/>
        </w:rPr>
        <w:t>Hinkelman</w:t>
      </w:r>
      <w:proofErr w:type="spellEnd"/>
      <w:r w:rsidRPr="00306EEB">
        <w:rPr>
          <w:rStyle w:val="apple-style-span"/>
          <w:szCs w:val="22"/>
        </w:rPr>
        <w:t xml:space="preserve">, L.M., 2014: Relating Solar Resource Variability to Cloud Type. </w:t>
      </w:r>
      <w:r w:rsidRPr="00306EEB">
        <w:rPr>
          <w:rStyle w:val="apple-style-span"/>
          <w:i/>
          <w:szCs w:val="22"/>
        </w:rPr>
        <w:t>NREL Technical Report</w:t>
      </w:r>
      <w:r w:rsidRPr="00306EEB">
        <w:rPr>
          <w:rStyle w:val="apple-style-span"/>
          <w:szCs w:val="22"/>
        </w:rPr>
        <w:t xml:space="preserve">. </w:t>
      </w:r>
    </w:p>
    <w:p w14:paraId="50243D9F" w14:textId="77777777" w:rsidR="00044C92" w:rsidRPr="00306EEB" w:rsidRDefault="00044C92" w:rsidP="004720AA">
      <w:pPr>
        <w:spacing w:line="240" w:lineRule="auto"/>
        <w:jc w:val="both"/>
        <w:rPr>
          <w:szCs w:val="22"/>
        </w:rPr>
      </w:pPr>
    </w:p>
    <w:p w14:paraId="195CCFB6" w14:textId="77777777" w:rsidR="00044C92" w:rsidRPr="00306EEB" w:rsidRDefault="00044C92" w:rsidP="004720AA">
      <w:pPr>
        <w:spacing w:line="240" w:lineRule="auto"/>
        <w:ind w:left="360" w:hanging="360"/>
        <w:jc w:val="both"/>
        <w:rPr>
          <w:szCs w:val="22"/>
        </w:rPr>
      </w:pPr>
      <w:r w:rsidRPr="00306EEB">
        <w:rPr>
          <w:szCs w:val="22"/>
        </w:rPr>
        <w:t xml:space="preserve">Huang, H., Xu, J., Peng, Z., </w:t>
      </w:r>
      <w:proofErr w:type="spellStart"/>
      <w:r w:rsidRPr="00306EEB">
        <w:rPr>
          <w:szCs w:val="22"/>
        </w:rPr>
        <w:t>Yoo</w:t>
      </w:r>
      <w:proofErr w:type="spellEnd"/>
      <w:r w:rsidRPr="00306EEB">
        <w:rPr>
          <w:szCs w:val="22"/>
        </w:rPr>
        <w:t xml:space="preserve">, S., Yu, D., Huang, D., and H. Qin, 2013: Cloud motion estimation for short term solar irradiance prediction. </w:t>
      </w:r>
      <w:r w:rsidRPr="00306EEB">
        <w:rPr>
          <w:i/>
          <w:szCs w:val="22"/>
        </w:rPr>
        <w:t>IEEE Int. Conf. on Smart Grid Communications</w:t>
      </w:r>
      <w:r w:rsidRPr="00306EEB">
        <w:rPr>
          <w:szCs w:val="22"/>
        </w:rPr>
        <w:t>, 696-701.</w:t>
      </w:r>
    </w:p>
    <w:p w14:paraId="18992F85" w14:textId="77777777" w:rsidR="00044C92" w:rsidRPr="00306EEB" w:rsidRDefault="00044C92" w:rsidP="004720AA">
      <w:pPr>
        <w:spacing w:line="240" w:lineRule="auto"/>
        <w:ind w:left="360" w:hanging="360"/>
        <w:jc w:val="both"/>
        <w:rPr>
          <w:szCs w:val="22"/>
        </w:rPr>
      </w:pPr>
    </w:p>
    <w:p w14:paraId="47C0AFD9" w14:textId="77777777" w:rsidR="00044C92" w:rsidRPr="00306EEB" w:rsidRDefault="00044C92" w:rsidP="004720AA">
      <w:pPr>
        <w:spacing w:line="240" w:lineRule="auto"/>
        <w:ind w:left="360" w:hanging="360"/>
        <w:jc w:val="both"/>
        <w:rPr>
          <w:szCs w:val="22"/>
        </w:rPr>
      </w:pPr>
      <w:r w:rsidRPr="00306EEB">
        <w:rPr>
          <w:szCs w:val="22"/>
        </w:rPr>
        <w:t xml:space="preserve">IRENA and CEM, 2014: The socio-economic benefits of large-scale solar and wind: an </w:t>
      </w:r>
      <w:proofErr w:type="spellStart"/>
      <w:r w:rsidRPr="00306EEB">
        <w:rPr>
          <w:szCs w:val="22"/>
        </w:rPr>
        <w:t>econValue</w:t>
      </w:r>
      <w:proofErr w:type="spellEnd"/>
      <w:r w:rsidRPr="00306EEB">
        <w:rPr>
          <w:szCs w:val="22"/>
        </w:rPr>
        <w:t xml:space="preserve"> report. 107pp.</w:t>
      </w:r>
    </w:p>
    <w:p w14:paraId="4626E9F4" w14:textId="77777777" w:rsidR="00044C92" w:rsidRPr="00306EEB" w:rsidRDefault="00044C92" w:rsidP="004720AA">
      <w:pPr>
        <w:spacing w:line="240" w:lineRule="auto"/>
        <w:ind w:left="360" w:hanging="360"/>
        <w:jc w:val="both"/>
        <w:rPr>
          <w:szCs w:val="22"/>
        </w:rPr>
      </w:pPr>
    </w:p>
    <w:p w14:paraId="5DEA127A" w14:textId="77777777" w:rsidR="00044C92" w:rsidRPr="00306EEB" w:rsidRDefault="00044C92" w:rsidP="004720AA">
      <w:pPr>
        <w:spacing w:line="240" w:lineRule="auto"/>
        <w:ind w:left="360" w:hanging="360"/>
        <w:jc w:val="both"/>
        <w:rPr>
          <w:szCs w:val="22"/>
        </w:rPr>
      </w:pPr>
      <w:r w:rsidRPr="00306EEB">
        <w:rPr>
          <w:szCs w:val="22"/>
        </w:rPr>
        <w:t xml:space="preserve">Inman, R. H., Pedro, H.T.C., and C.F.M. Coimbra: 2013: Solar forecasting methods for renewable energy integration. </w:t>
      </w:r>
      <w:r w:rsidRPr="00306EEB">
        <w:rPr>
          <w:i/>
          <w:szCs w:val="22"/>
        </w:rPr>
        <w:t>Progress in Energy and Combustion Science</w:t>
      </w:r>
      <w:r w:rsidRPr="00306EEB">
        <w:rPr>
          <w:szCs w:val="22"/>
        </w:rPr>
        <w:t xml:space="preserve">, </w:t>
      </w:r>
      <w:r w:rsidRPr="00306EEB">
        <w:rPr>
          <w:b/>
          <w:szCs w:val="22"/>
        </w:rPr>
        <w:t>39</w:t>
      </w:r>
      <w:r w:rsidRPr="00306EEB">
        <w:rPr>
          <w:szCs w:val="22"/>
        </w:rPr>
        <w:t>, 535-576.</w:t>
      </w:r>
    </w:p>
    <w:p w14:paraId="77D3AE2E" w14:textId="77777777" w:rsidR="00044C92" w:rsidRPr="00306EEB" w:rsidRDefault="00044C92" w:rsidP="004720AA">
      <w:pPr>
        <w:spacing w:line="240" w:lineRule="auto"/>
        <w:ind w:left="360" w:hanging="360"/>
        <w:jc w:val="both"/>
        <w:rPr>
          <w:iCs/>
          <w:szCs w:val="22"/>
        </w:rPr>
      </w:pPr>
    </w:p>
    <w:p w14:paraId="0ECE0F14" w14:textId="6314C22F" w:rsidR="00044C92" w:rsidRPr="00306EEB" w:rsidRDefault="00912A4A" w:rsidP="004720AA">
      <w:pPr>
        <w:spacing w:line="240" w:lineRule="auto"/>
        <w:ind w:left="360" w:hanging="360"/>
        <w:jc w:val="both"/>
        <w:rPr>
          <w:szCs w:val="22"/>
        </w:rPr>
      </w:pPr>
      <w:proofErr w:type="spellStart"/>
      <w:r>
        <w:rPr>
          <w:iCs/>
          <w:szCs w:val="22"/>
        </w:rPr>
        <w:t>Kleiss</w:t>
      </w:r>
      <w:r w:rsidR="00044C92" w:rsidRPr="00306EEB">
        <w:rPr>
          <w:iCs/>
          <w:szCs w:val="22"/>
        </w:rPr>
        <w:t>l</w:t>
      </w:r>
      <w:proofErr w:type="spellEnd"/>
      <w:r w:rsidR="00044C92" w:rsidRPr="00306EEB">
        <w:rPr>
          <w:iCs/>
          <w:szCs w:val="22"/>
        </w:rPr>
        <w:t xml:space="preserve">, J. 2013: </w:t>
      </w:r>
      <w:r w:rsidR="00044C92" w:rsidRPr="00306EEB">
        <w:rPr>
          <w:i/>
          <w:iCs/>
          <w:szCs w:val="22"/>
        </w:rPr>
        <w:t>Solar Energy Forecast and Resource Assessment</w:t>
      </w:r>
      <w:r w:rsidR="00044C92" w:rsidRPr="00306EEB">
        <w:rPr>
          <w:iCs/>
          <w:szCs w:val="22"/>
        </w:rPr>
        <w:t xml:space="preserve">. Academic Press. 462pp. </w:t>
      </w:r>
    </w:p>
    <w:p w14:paraId="12252931" w14:textId="77777777" w:rsidR="00044C92" w:rsidRPr="00306EEB" w:rsidRDefault="00044C92" w:rsidP="004720AA">
      <w:pPr>
        <w:spacing w:line="240" w:lineRule="auto"/>
        <w:jc w:val="both"/>
        <w:rPr>
          <w:szCs w:val="22"/>
        </w:rPr>
      </w:pPr>
    </w:p>
    <w:p w14:paraId="36A9F5BF" w14:textId="77777777" w:rsidR="00044C92" w:rsidRPr="00306EEB" w:rsidRDefault="00044C92" w:rsidP="004720AA">
      <w:pPr>
        <w:spacing w:line="240" w:lineRule="auto"/>
        <w:ind w:left="360" w:hanging="360"/>
        <w:jc w:val="both"/>
        <w:rPr>
          <w:rStyle w:val="apple-style-span"/>
          <w:szCs w:val="22"/>
        </w:rPr>
      </w:pPr>
      <w:r w:rsidRPr="00306EEB">
        <w:rPr>
          <w:szCs w:val="22"/>
        </w:rPr>
        <w:t xml:space="preserve">Lippmann, R. P., 1987: An introduction to computing with neural nets. </w:t>
      </w:r>
      <w:r w:rsidRPr="00306EEB">
        <w:rPr>
          <w:i/>
          <w:szCs w:val="22"/>
        </w:rPr>
        <w:t>IEEE Acoustics, Speech Signal Process. Mag</w:t>
      </w:r>
      <w:r w:rsidRPr="00306EEB">
        <w:rPr>
          <w:szCs w:val="22"/>
        </w:rPr>
        <w:t xml:space="preserve">., </w:t>
      </w:r>
      <w:r w:rsidRPr="00306EEB">
        <w:rPr>
          <w:b/>
          <w:szCs w:val="22"/>
        </w:rPr>
        <w:t>4</w:t>
      </w:r>
      <w:r w:rsidRPr="00306EEB">
        <w:rPr>
          <w:szCs w:val="22"/>
        </w:rPr>
        <w:t>, 4–22.</w:t>
      </w:r>
    </w:p>
    <w:p w14:paraId="31457C06" w14:textId="77777777" w:rsidR="00044C92" w:rsidRPr="00306EEB" w:rsidRDefault="00044C92" w:rsidP="004720AA">
      <w:pPr>
        <w:spacing w:line="240" w:lineRule="auto"/>
        <w:ind w:left="360" w:hanging="360"/>
        <w:jc w:val="both"/>
        <w:rPr>
          <w:rStyle w:val="apple-style-span"/>
          <w:szCs w:val="22"/>
        </w:rPr>
      </w:pPr>
    </w:p>
    <w:p w14:paraId="51B3D1A3" w14:textId="77777777" w:rsidR="00044C92" w:rsidRPr="00306EEB" w:rsidRDefault="00044C92" w:rsidP="004720AA">
      <w:pPr>
        <w:spacing w:line="240" w:lineRule="auto"/>
        <w:ind w:left="360" w:hanging="360"/>
        <w:jc w:val="both"/>
        <w:rPr>
          <w:rStyle w:val="apple-style-span"/>
          <w:szCs w:val="22"/>
        </w:rPr>
      </w:pPr>
      <w:r w:rsidRPr="00306EEB">
        <w:rPr>
          <w:rStyle w:val="apple-style-span"/>
          <w:szCs w:val="22"/>
        </w:rPr>
        <w:t xml:space="preserve">Lopez, G., </w:t>
      </w:r>
      <w:proofErr w:type="spellStart"/>
      <w:r w:rsidRPr="00306EEB">
        <w:rPr>
          <w:rStyle w:val="apple-style-span"/>
          <w:szCs w:val="22"/>
        </w:rPr>
        <w:t>Batlles</w:t>
      </w:r>
      <w:proofErr w:type="spellEnd"/>
      <w:r w:rsidRPr="00306EEB">
        <w:rPr>
          <w:rStyle w:val="apple-style-span"/>
          <w:szCs w:val="22"/>
        </w:rPr>
        <w:t>, F.J., and J. Tovar-</w:t>
      </w:r>
      <w:proofErr w:type="spellStart"/>
      <w:r w:rsidRPr="00306EEB">
        <w:rPr>
          <w:rStyle w:val="apple-style-span"/>
          <w:szCs w:val="22"/>
        </w:rPr>
        <w:t>Pescador</w:t>
      </w:r>
      <w:proofErr w:type="spellEnd"/>
      <w:r w:rsidRPr="00306EEB">
        <w:rPr>
          <w:rStyle w:val="apple-style-span"/>
          <w:szCs w:val="22"/>
        </w:rPr>
        <w:t xml:space="preserve">, 2005: Selection of input parameters to model direct solar irradiance by using artificial neural networks. </w:t>
      </w:r>
      <w:r w:rsidRPr="00306EEB">
        <w:rPr>
          <w:rStyle w:val="apple-style-span"/>
          <w:i/>
          <w:szCs w:val="22"/>
        </w:rPr>
        <w:t>Energy</w:t>
      </w:r>
      <w:r w:rsidRPr="00306EEB">
        <w:rPr>
          <w:rStyle w:val="apple-style-span"/>
          <w:szCs w:val="22"/>
        </w:rPr>
        <w:t xml:space="preserve">, </w:t>
      </w:r>
      <w:r w:rsidRPr="00306EEB">
        <w:rPr>
          <w:rStyle w:val="apple-style-span"/>
          <w:b/>
          <w:szCs w:val="22"/>
        </w:rPr>
        <w:t>30</w:t>
      </w:r>
      <w:r w:rsidRPr="00306EEB">
        <w:rPr>
          <w:rStyle w:val="apple-style-span"/>
          <w:szCs w:val="22"/>
        </w:rPr>
        <w:t>, 1675-1684.</w:t>
      </w:r>
    </w:p>
    <w:p w14:paraId="7A7E43C9" w14:textId="77777777" w:rsidR="00044C92" w:rsidRPr="00306EEB" w:rsidRDefault="00044C92" w:rsidP="004720AA">
      <w:pPr>
        <w:spacing w:line="240" w:lineRule="auto"/>
        <w:ind w:left="360" w:hanging="360"/>
        <w:jc w:val="both"/>
        <w:rPr>
          <w:rStyle w:val="apple-style-span"/>
          <w:szCs w:val="22"/>
        </w:rPr>
      </w:pPr>
    </w:p>
    <w:p w14:paraId="58FB7399" w14:textId="77777777" w:rsidR="00044C92" w:rsidRPr="00306EEB" w:rsidRDefault="00044C92" w:rsidP="004720AA">
      <w:pPr>
        <w:spacing w:line="240" w:lineRule="auto"/>
        <w:ind w:left="360" w:hanging="360"/>
        <w:jc w:val="both"/>
        <w:rPr>
          <w:szCs w:val="22"/>
        </w:rPr>
      </w:pPr>
      <w:r w:rsidRPr="00306EEB">
        <w:rPr>
          <w:szCs w:val="22"/>
        </w:rPr>
        <w:t xml:space="preserve">Lorenz, E., Hammer, A., and D. Heinemann, 2004: Short term forecasting of solar radiation based on satellite data. </w:t>
      </w:r>
      <w:r w:rsidRPr="00306EEB">
        <w:rPr>
          <w:i/>
          <w:iCs/>
          <w:szCs w:val="22"/>
        </w:rPr>
        <w:t xml:space="preserve">EUROSUN2004, ISES Europe Solar Congress, </w:t>
      </w:r>
      <w:r w:rsidRPr="00306EEB">
        <w:rPr>
          <w:szCs w:val="22"/>
        </w:rPr>
        <w:t>841-848.</w:t>
      </w:r>
    </w:p>
    <w:p w14:paraId="418E9EE8" w14:textId="77777777" w:rsidR="00044C92" w:rsidRPr="00306EEB" w:rsidRDefault="00044C92" w:rsidP="004720AA">
      <w:pPr>
        <w:spacing w:line="240" w:lineRule="auto"/>
        <w:ind w:left="360" w:hanging="360"/>
        <w:jc w:val="both"/>
        <w:rPr>
          <w:rStyle w:val="apple-style-span"/>
          <w:szCs w:val="22"/>
        </w:rPr>
      </w:pPr>
    </w:p>
    <w:p w14:paraId="1772FA75" w14:textId="77777777" w:rsidR="00044C92" w:rsidRPr="00306EEB" w:rsidRDefault="00044C92" w:rsidP="004720AA">
      <w:pPr>
        <w:spacing w:line="240" w:lineRule="auto"/>
        <w:ind w:left="360" w:hanging="360"/>
        <w:jc w:val="both"/>
        <w:rPr>
          <w:rStyle w:val="apple-style-span"/>
          <w:i/>
          <w:szCs w:val="22"/>
        </w:rPr>
      </w:pPr>
      <w:r w:rsidRPr="00306EEB">
        <w:rPr>
          <w:rStyle w:val="apple-style-span"/>
          <w:szCs w:val="22"/>
        </w:rPr>
        <w:t xml:space="preserve">Lorenz, E., Kuhnert, J., and D. Heinemann, 2012: Overview on irradiance and photovoltaic power prediction. </w:t>
      </w:r>
      <w:r w:rsidRPr="00306EEB">
        <w:rPr>
          <w:i/>
          <w:iCs/>
          <w:szCs w:val="22"/>
        </w:rPr>
        <w:t>Weather Matters for Energy</w:t>
      </w:r>
      <w:r w:rsidRPr="00306EEB">
        <w:rPr>
          <w:szCs w:val="22"/>
        </w:rPr>
        <w:t>, 429-454.</w:t>
      </w:r>
    </w:p>
    <w:p w14:paraId="56BD1E0C" w14:textId="77777777" w:rsidR="00044C92" w:rsidRPr="00306EEB" w:rsidRDefault="00044C92" w:rsidP="00912A4A">
      <w:pPr>
        <w:spacing w:line="240" w:lineRule="auto"/>
        <w:ind w:firstLine="0"/>
        <w:jc w:val="both"/>
        <w:rPr>
          <w:szCs w:val="22"/>
        </w:rPr>
      </w:pPr>
    </w:p>
    <w:p w14:paraId="30369E68" w14:textId="77777777" w:rsidR="00044C92" w:rsidRDefault="00044C92" w:rsidP="004720AA">
      <w:pPr>
        <w:spacing w:line="240" w:lineRule="auto"/>
        <w:ind w:left="360" w:hanging="360"/>
        <w:jc w:val="both"/>
        <w:rPr>
          <w:szCs w:val="22"/>
        </w:rPr>
      </w:pPr>
      <w:r w:rsidRPr="00306EEB">
        <w:rPr>
          <w:szCs w:val="22"/>
        </w:rPr>
        <w:t>Marquez, R., and C. F. M. Coimbra, 2013a: Intra-hour DNI forecasting based on cloud tracking image analysis</w:t>
      </w:r>
      <w:r w:rsidRPr="00306EEB">
        <w:rPr>
          <w:i/>
          <w:szCs w:val="22"/>
        </w:rPr>
        <w:t>. Solar Energy</w:t>
      </w:r>
      <w:r w:rsidRPr="00306EEB">
        <w:rPr>
          <w:szCs w:val="22"/>
        </w:rPr>
        <w:t xml:space="preserve">, </w:t>
      </w:r>
      <w:r w:rsidRPr="00306EEB">
        <w:rPr>
          <w:b/>
          <w:szCs w:val="22"/>
        </w:rPr>
        <w:t>91</w:t>
      </w:r>
      <w:r w:rsidRPr="00306EEB">
        <w:rPr>
          <w:szCs w:val="22"/>
        </w:rPr>
        <w:t>, 327-336.</w:t>
      </w:r>
    </w:p>
    <w:p w14:paraId="1C28E07A" w14:textId="77777777" w:rsidR="00912A4A" w:rsidRDefault="00912A4A" w:rsidP="004720AA">
      <w:pPr>
        <w:spacing w:line="240" w:lineRule="auto"/>
        <w:ind w:left="360" w:hanging="360"/>
        <w:jc w:val="both"/>
        <w:rPr>
          <w:szCs w:val="22"/>
        </w:rPr>
      </w:pPr>
    </w:p>
    <w:p w14:paraId="30A0DFC8" w14:textId="77777777" w:rsidR="00912A4A" w:rsidRPr="00306EEB" w:rsidRDefault="00912A4A" w:rsidP="00912A4A">
      <w:pPr>
        <w:spacing w:line="240" w:lineRule="auto"/>
        <w:ind w:left="360" w:hanging="360"/>
        <w:jc w:val="both"/>
        <w:rPr>
          <w:szCs w:val="22"/>
        </w:rPr>
      </w:pPr>
      <w:r w:rsidRPr="00306EEB">
        <w:rPr>
          <w:szCs w:val="22"/>
        </w:rPr>
        <w:t xml:space="preserve">Marquez, R., Pedro, H.T.C., and C.F.M. Coimbra, 2013b: Hybrid solar forecasting method uses satellite imaging and ground telemetry as inputs to ANNs. </w:t>
      </w:r>
      <w:r w:rsidRPr="00306EEB">
        <w:rPr>
          <w:i/>
          <w:szCs w:val="22"/>
        </w:rPr>
        <w:t>Solar Energy</w:t>
      </w:r>
      <w:r w:rsidRPr="00306EEB">
        <w:rPr>
          <w:szCs w:val="22"/>
        </w:rPr>
        <w:t xml:space="preserve">, </w:t>
      </w:r>
      <w:r w:rsidRPr="00306EEB">
        <w:rPr>
          <w:b/>
          <w:szCs w:val="22"/>
        </w:rPr>
        <w:t>92</w:t>
      </w:r>
      <w:r w:rsidRPr="00306EEB">
        <w:rPr>
          <w:szCs w:val="22"/>
        </w:rPr>
        <w:t>, 176-188.</w:t>
      </w:r>
    </w:p>
    <w:p w14:paraId="3A67D2C6" w14:textId="77777777" w:rsidR="00044C92" w:rsidRPr="00306EEB" w:rsidRDefault="00044C92" w:rsidP="00912A4A">
      <w:pPr>
        <w:spacing w:line="240" w:lineRule="auto"/>
        <w:ind w:firstLine="0"/>
        <w:jc w:val="both"/>
        <w:rPr>
          <w:szCs w:val="22"/>
        </w:rPr>
      </w:pPr>
    </w:p>
    <w:p w14:paraId="3C0DCB59" w14:textId="77777777" w:rsidR="00044C92" w:rsidRPr="00306EEB" w:rsidRDefault="00044C92" w:rsidP="004720AA">
      <w:pPr>
        <w:spacing w:line="240" w:lineRule="auto"/>
        <w:ind w:left="360" w:hanging="360"/>
        <w:jc w:val="both"/>
        <w:rPr>
          <w:szCs w:val="22"/>
        </w:rPr>
      </w:pPr>
      <w:r w:rsidRPr="00306EEB">
        <w:rPr>
          <w:szCs w:val="22"/>
        </w:rPr>
        <w:t xml:space="preserve">Martín, L., </w:t>
      </w:r>
      <w:proofErr w:type="spellStart"/>
      <w:r w:rsidRPr="00306EEB">
        <w:rPr>
          <w:szCs w:val="22"/>
        </w:rPr>
        <w:t>Zarzalejo</w:t>
      </w:r>
      <w:proofErr w:type="spellEnd"/>
      <w:r w:rsidRPr="00306EEB">
        <w:rPr>
          <w:szCs w:val="22"/>
        </w:rPr>
        <w:t xml:space="preserve">, L. F., Polo, J., Navarro, A., </w:t>
      </w:r>
      <w:proofErr w:type="spellStart"/>
      <w:r w:rsidRPr="00306EEB">
        <w:rPr>
          <w:szCs w:val="22"/>
        </w:rPr>
        <w:t>Marchante</w:t>
      </w:r>
      <w:proofErr w:type="spellEnd"/>
      <w:r w:rsidRPr="00306EEB">
        <w:rPr>
          <w:szCs w:val="22"/>
        </w:rPr>
        <w:t xml:space="preserve">, R., and M. Cony, 2010: Prediction of global solar irradiance based on time series analysis: Application to solar thermal power plants energy production planning. </w:t>
      </w:r>
      <w:r w:rsidRPr="00306EEB">
        <w:rPr>
          <w:i/>
          <w:iCs/>
          <w:szCs w:val="22"/>
        </w:rPr>
        <w:t>Solar Energy</w:t>
      </w:r>
      <w:r w:rsidRPr="00306EEB">
        <w:rPr>
          <w:szCs w:val="22"/>
        </w:rPr>
        <w:t>,</w:t>
      </w:r>
      <w:r w:rsidRPr="00306EEB">
        <w:rPr>
          <w:b/>
          <w:szCs w:val="22"/>
        </w:rPr>
        <w:t xml:space="preserve"> </w:t>
      </w:r>
      <w:r w:rsidRPr="00306EEB">
        <w:rPr>
          <w:b/>
          <w:iCs/>
          <w:szCs w:val="22"/>
        </w:rPr>
        <w:t>84</w:t>
      </w:r>
      <w:r w:rsidRPr="00306EEB">
        <w:rPr>
          <w:iCs/>
          <w:szCs w:val="22"/>
        </w:rPr>
        <w:t>:</w:t>
      </w:r>
      <w:r w:rsidRPr="00306EEB">
        <w:rPr>
          <w:szCs w:val="22"/>
        </w:rPr>
        <w:t>10, 1772-1781.</w:t>
      </w:r>
    </w:p>
    <w:p w14:paraId="783EF1DE" w14:textId="77777777" w:rsidR="00044C92" w:rsidRPr="00306EEB" w:rsidRDefault="00044C92" w:rsidP="004720AA">
      <w:pPr>
        <w:spacing w:line="240" w:lineRule="auto"/>
        <w:ind w:left="360" w:hanging="360"/>
        <w:jc w:val="both"/>
        <w:rPr>
          <w:szCs w:val="22"/>
        </w:rPr>
      </w:pPr>
    </w:p>
    <w:p w14:paraId="21D1B801" w14:textId="77777777" w:rsidR="00044C92" w:rsidRPr="00306EEB" w:rsidRDefault="00044C92" w:rsidP="004720AA">
      <w:pPr>
        <w:spacing w:line="240" w:lineRule="auto"/>
        <w:ind w:left="360" w:hanging="360"/>
        <w:jc w:val="both"/>
        <w:rPr>
          <w:szCs w:val="22"/>
        </w:rPr>
      </w:pPr>
      <w:r w:rsidRPr="00306EEB">
        <w:rPr>
          <w:szCs w:val="22"/>
        </w:rPr>
        <w:t>McCandless, T. C., Haupt, S. E., and G. S. Young, 2014: Short Term Solar Radiation Forecasts Using Weather Regime-Dependent Artificial Intelligence Techniques, 1</w:t>
      </w:r>
      <w:r w:rsidRPr="00306EEB">
        <w:rPr>
          <w:i/>
          <w:iCs/>
          <w:szCs w:val="22"/>
        </w:rPr>
        <w:t>2th Conference on Artificial Intelligence: Applications of Artificial Intelligence Methods for Energy</w:t>
      </w:r>
      <w:r w:rsidRPr="00306EEB">
        <w:rPr>
          <w:szCs w:val="22"/>
        </w:rPr>
        <w:t xml:space="preserve">, Atlanta, GA, Amer. Meteor. </w:t>
      </w:r>
      <w:proofErr w:type="spellStart"/>
      <w:r w:rsidRPr="00306EEB">
        <w:rPr>
          <w:szCs w:val="22"/>
        </w:rPr>
        <w:t>Soc</w:t>
      </w:r>
      <w:proofErr w:type="spellEnd"/>
      <w:r w:rsidRPr="00306EEB">
        <w:rPr>
          <w:i/>
          <w:szCs w:val="22"/>
        </w:rPr>
        <w:t>,</w:t>
      </w:r>
      <w:r w:rsidRPr="00306EEB">
        <w:rPr>
          <w:szCs w:val="22"/>
        </w:rPr>
        <w:t xml:space="preserve"> J3.5.</w:t>
      </w:r>
    </w:p>
    <w:p w14:paraId="4BD20B67" w14:textId="245AAFD2" w:rsidR="00A11630" w:rsidRDefault="00A11630" w:rsidP="000F4581">
      <w:pPr>
        <w:spacing w:line="240" w:lineRule="auto"/>
        <w:ind w:firstLine="0"/>
        <w:jc w:val="both"/>
        <w:rPr>
          <w:szCs w:val="22"/>
        </w:rPr>
      </w:pPr>
    </w:p>
    <w:p w14:paraId="1E7CE0DA" w14:textId="040D22FB" w:rsidR="00A11630" w:rsidRPr="00A11630" w:rsidRDefault="00A11630" w:rsidP="00A11630">
      <w:pPr>
        <w:spacing w:line="240" w:lineRule="auto"/>
        <w:ind w:left="360" w:hanging="360"/>
        <w:jc w:val="both"/>
        <w:rPr>
          <w:szCs w:val="22"/>
        </w:rPr>
      </w:pPr>
      <w:r w:rsidRPr="00A11630">
        <w:rPr>
          <w:szCs w:val="22"/>
        </w:rPr>
        <w:t>McCandless, T. C., Hau</w:t>
      </w:r>
      <w:r>
        <w:rPr>
          <w:szCs w:val="22"/>
        </w:rPr>
        <w:t>p</w:t>
      </w:r>
      <w:r w:rsidR="00E4352E">
        <w:rPr>
          <w:szCs w:val="22"/>
        </w:rPr>
        <w:t>t, S. E., and G. S. Young, 2015</w:t>
      </w:r>
      <w:r w:rsidRPr="00A11630">
        <w:rPr>
          <w:szCs w:val="22"/>
        </w:rPr>
        <w:t xml:space="preserve">: </w:t>
      </w:r>
      <w:r w:rsidR="00E4352E" w:rsidRPr="00E4352E">
        <w:rPr>
          <w:szCs w:val="22"/>
        </w:rPr>
        <w:t>A Regime-Dependent Artificial Neural Network Technique for Short-Range Solar Irradiance Forecasting</w:t>
      </w:r>
      <w:r w:rsidRPr="00A11630">
        <w:rPr>
          <w:szCs w:val="22"/>
        </w:rPr>
        <w:t xml:space="preserve">, </w:t>
      </w:r>
      <w:r w:rsidR="00E4352E">
        <w:rPr>
          <w:i/>
          <w:szCs w:val="22"/>
        </w:rPr>
        <w:t>Renewable Energy</w:t>
      </w:r>
      <w:r w:rsidR="00E4352E">
        <w:rPr>
          <w:szCs w:val="22"/>
        </w:rPr>
        <w:t>, submitted September 2015</w:t>
      </w:r>
      <w:r w:rsidRPr="00A11630">
        <w:rPr>
          <w:szCs w:val="22"/>
        </w:rPr>
        <w:t>.</w:t>
      </w:r>
    </w:p>
    <w:p w14:paraId="6E5A3AA2" w14:textId="77777777" w:rsidR="00A11630" w:rsidRPr="00306EEB" w:rsidRDefault="00A11630" w:rsidP="004720AA">
      <w:pPr>
        <w:spacing w:line="240" w:lineRule="auto"/>
        <w:ind w:left="360" w:hanging="360"/>
        <w:jc w:val="both"/>
        <w:rPr>
          <w:szCs w:val="22"/>
        </w:rPr>
      </w:pPr>
    </w:p>
    <w:p w14:paraId="049B62B0" w14:textId="77777777" w:rsidR="00044C92" w:rsidRPr="00306EEB" w:rsidRDefault="00044C92" w:rsidP="004720AA">
      <w:pPr>
        <w:spacing w:line="240" w:lineRule="auto"/>
        <w:ind w:left="360" w:hanging="360"/>
        <w:jc w:val="both"/>
        <w:rPr>
          <w:szCs w:val="22"/>
        </w:rPr>
      </w:pPr>
    </w:p>
    <w:p w14:paraId="5825B9C7" w14:textId="77777777" w:rsidR="00044C92" w:rsidRPr="00306EEB" w:rsidRDefault="00044C92" w:rsidP="004720AA">
      <w:pPr>
        <w:spacing w:line="240" w:lineRule="auto"/>
        <w:ind w:left="360" w:hanging="360"/>
        <w:jc w:val="both"/>
        <w:rPr>
          <w:szCs w:val="22"/>
        </w:rPr>
      </w:pPr>
      <w:r w:rsidRPr="00306EEB">
        <w:rPr>
          <w:szCs w:val="22"/>
        </w:rPr>
        <w:t xml:space="preserve">Miller, S.D., Forsythe, J.M., Partain, P.T., Haynes, J.M., Bankert, R.L., </w:t>
      </w:r>
      <w:proofErr w:type="spellStart"/>
      <w:r w:rsidRPr="00306EEB">
        <w:rPr>
          <w:szCs w:val="22"/>
        </w:rPr>
        <w:t>Sengupta</w:t>
      </w:r>
      <w:proofErr w:type="spellEnd"/>
      <w:r w:rsidRPr="00306EEB">
        <w:rPr>
          <w:szCs w:val="22"/>
        </w:rPr>
        <w:t xml:space="preserve">, M., </w:t>
      </w:r>
      <w:proofErr w:type="spellStart"/>
      <w:r w:rsidRPr="00306EEB">
        <w:rPr>
          <w:szCs w:val="22"/>
        </w:rPr>
        <w:t>Mitrescu</w:t>
      </w:r>
      <w:proofErr w:type="spellEnd"/>
      <w:r w:rsidRPr="00306EEB">
        <w:rPr>
          <w:szCs w:val="22"/>
        </w:rPr>
        <w:t xml:space="preserve">, C., Hawkins, J.D., and T.H. </w:t>
      </w:r>
      <w:proofErr w:type="spellStart"/>
      <w:r w:rsidRPr="00306EEB">
        <w:rPr>
          <w:szCs w:val="22"/>
        </w:rPr>
        <w:t>Vonder</w:t>
      </w:r>
      <w:proofErr w:type="spellEnd"/>
      <w:r w:rsidRPr="00306EEB">
        <w:rPr>
          <w:szCs w:val="22"/>
        </w:rPr>
        <w:t xml:space="preserve"> </w:t>
      </w:r>
      <w:proofErr w:type="spellStart"/>
      <w:r w:rsidRPr="00306EEB">
        <w:rPr>
          <w:szCs w:val="22"/>
        </w:rPr>
        <w:t>Haar</w:t>
      </w:r>
      <w:proofErr w:type="spellEnd"/>
      <w:r w:rsidRPr="00306EEB">
        <w:rPr>
          <w:szCs w:val="22"/>
        </w:rPr>
        <w:t xml:space="preserve">, 2014: Estimating Three-Dimensional Cloud Structure via Statistically Blended Satellite Observations. </w:t>
      </w:r>
      <w:r w:rsidRPr="00306EEB">
        <w:rPr>
          <w:i/>
          <w:iCs/>
          <w:szCs w:val="22"/>
        </w:rPr>
        <w:t xml:space="preserve">J. Appl. Meteor. </w:t>
      </w:r>
      <w:proofErr w:type="spellStart"/>
      <w:proofErr w:type="gramStart"/>
      <w:r w:rsidRPr="00306EEB">
        <w:rPr>
          <w:i/>
          <w:iCs/>
          <w:szCs w:val="22"/>
        </w:rPr>
        <w:t>Climatol</w:t>
      </w:r>
      <w:proofErr w:type="spellEnd"/>
      <w:r w:rsidRPr="00306EEB">
        <w:rPr>
          <w:i/>
          <w:iCs/>
          <w:szCs w:val="22"/>
        </w:rPr>
        <w:t>.</w:t>
      </w:r>
      <w:r w:rsidRPr="00306EEB">
        <w:rPr>
          <w:szCs w:val="22"/>
        </w:rPr>
        <w:t>,</w:t>
      </w:r>
      <w:proofErr w:type="gramEnd"/>
      <w:r w:rsidRPr="00306EEB">
        <w:rPr>
          <w:szCs w:val="22"/>
        </w:rPr>
        <w:t xml:space="preserve"> </w:t>
      </w:r>
      <w:r w:rsidRPr="00306EEB">
        <w:rPr>
          <w:b/>
          <w:bCs/>
          <w:szCs w:val="22"/>
        </w:rPr>
        <w:t>53</w:t>
      </w:r>
      <w:r w:rsidRPr="00306EEB">
        <w:rPr>
          <w:szCs w:val="22"/>
        </w:rPr>
        <w:t>, 437–455.</w:t>
      </w:r>
    </w:p>
    <w:p w14:paraId="3A54EED6" w14:textId="77777777" w:rsidR="00044C92" w:rsidRPr="00306EEB" w:rsidRDefault="00044C92" w:rsidP="004720AA">
      <w:pPr>
        <w:spacing w:line="240" w:lineRule="auto"/>
        <w:ind w:left="360" w:hanging="360"/>
        <w:jc w:val="both"/>
        <w:rPr>
          <w:szCs w:val="22"/>
        </w:rPr>
      </w:pPr>
    </w:p>
    <w:p w14:paraId="675B5358" w14:textId="77777777" w:rsidR="00044C92" w:rsidRPr="00306EEB" w:rsidRDefault="00044C92" w:rsidP="004720AA">
      <w:pPr>
        <w:spacing w:line="240" w:lineRule="auto"/>
        <w:ind w:left="360" w:hanging="360"/>
        <w:jc w:val="both"/>
        <w:rPr>
          <w:szCs w:val="22"/>
        </w:rPr>
      </w:pPr>
      <w:r w:rsidRPr="00306EEB">
        <w:rPr>
          <w:szCs w:val="22"/>
        </w:rPr>
        <w:t xml:space="preserve">Mellit, A., 2008: Artificial Intelligence Technique for Modeling and Forecasting of Solar Radiation Data: A Review. </w:t>
      </w:r>
      <w:r w:rsidRPr="00306EEB">
        <w:rPr>
          <w:i/>
          <w:szCs w:val="22"/>
        </w:rPr>
        <w:t>Int. Journal Artificial Intelligence and Soft Computing</w:t>
      </w:r>
      <w:r w:rsidRPr="00306EEB">
        <w:rPr>
          <w:szCs w:val="22"/>
        </w:rPr>
        <w:t xml:space="preserve">, </w:t>
      </w:r>
      <w:r w:rsidRPr="00306EEB">
        <w:rPr>
          <w:b/>
          <w:szCs w:val="22"/>
        </w:rPr>
        <w:t>1:1</w:t>
      </w:r>
      <w:r w:rsidRPr="00306EEB">
        <w:rPr>
          <w:szCs w:val="22"/>
        </w:rPr>
        <w:t>, 52-76.</w:t>
      </w:r>
    </w:p>
    <w:p w14:paraId="35993B60" w14:textId="77777777" w:rsidR="00044C92" w:rsidRPr="00306EEB" w:rsidRDefault="00044C92" w:rsidP="004720AA">
      <w:pPr>
        <w:spacing w:line="240" w:lineRule="auto"/>
        <w:ind w:left="360" w:hanging="360"/>
        <w:jc w:val="both"/>
        <w:rPr>
          <w:szCs w:val="22"/>
        </w:rPr>
      </w:pPr>
    </w:p>
    <w:p w14:paraId="528794A3" w14:textId="77777777" w:rsidR="00044C92" w:rsidRPr="00306EEB" w:rsidRDefault="00044C92" w:rsidP="004720AA">
      <w:pPr>
        <w:spacing w:line="240" w:lineRule="auto"/>
        <w:ind w:left="360" w:hanging="360"/>
        <w:jc w:val="both"/>
        <w:rPr>
          <w:szCs w:val="22"/>
        </w:rPr>
      </w:pPr>
      <w:r w:rsidRPr="00306EEB">
        <w:rPr>
          <w:szCs w:val="22"/>
        </w:rPr>
        <w:t xml:space="preserve">Mellit, A., </w:t>
      </w:r>
      <w:proofErr w:type="spellStart"/>
      <w:r w:rsidRPr="00306EEB">
        <w:rPr>
          <w:szCs w:val="22"/>
        </w:rPr>
        <w:t>Massi</w:t>
      </w:r>
      <w:proofErr w:type="spellEnd"/>
      <w:r w:rsidRPr="00306EEB">
        <w:rPr>
          <w:szCs w:val="22"/>
        </w:rPr>
        <w:t xml:space="preserve"> </w:t>
      </w:r>
      <w:proofErr w:type="spellStart"/>
      <w:r w:rsidRPr="00306EEB">
        <w:rPr>
          <w:szCs w:val="22"/>
        </w:rPr>
        <w:t>Pavan</w:t>
      </w:r>
      <w:proofErr w:type="spellEnd"/>
      <w:r w:rsidRPr="00306EEB">
        <w:rPr>
          <w:szCs w:val="22"/>
        </w:rPr>
        <w:t xml:space="preserve">, A., and V. </w:t>
      </w:r>
      <w:proofErr w:type="spellStart"/>
      <w:r w:rsidRPr="00306EEB">
        <w:rPr>
          <w:szCs w:val="22"/>
        </w:rPr>
        <w:t>Lughi</w:t>
      </w:r>
      <w:proofErr w:type="spellEnd"/>
      <w:r w:rsidRPr="00306EEB">
        <w:rPr>
          <w:szCs w:val="22"/>
        </w:rPr>
        <w:t xml:space="preserve">, 2014: Short-Term Forecasting of Power Production in a Large-Scale Photovoltaic Plant, </w:t>
      </w:r>
      <w:r w:rsidRPr="00306EEB">
        <w:rPr>
          <w:i/>
          <w:szCs w:val="22"/>
        </w:rPr>
        <w:t>Solar Energy</w:t>
      </w:r>
      <w:r w:rsidRPr="00306EEB">
        <w:rPr>
          <w:szCs w:val="22"/>
        </w:rPr>
        <w:t xml:space="preserve">, </w:t>
      </w:r>
      <w:r w:rsidRPr="00306EEB">
        <w:rPr>
          <w:b/>
          <w:szCs w:val="22"/>
        </w:rPr>
        <w:t>105</w:t>
      </w:r>
      <w:r w:rsidRPr="00306EEB">
        <w:rPr>
          <w:szCs w:val="22"/>
        </w:rPr>
        <w:t>, 401-413.</w:t>
      </w:r>
    </w:p>
    <w:p w14:paraId="365E04FC" w14:textId="77777777" w:rsidR="00044C92" w:rsidRPr="00306EEB" w:rsidRDefault="00044C92" w:rsidP="004720AA">
      <w:pPr>
        <w:spacing w:line="240" w:lineRule="auto"/>
        <w:ind w:left="360" w:hanging="360"/>
        <w:jc w:val="both"/>
        <w:rPr>
          <w:szCs w:val="22"/>
        </w:rPr>
      </w:pPr>
    </w:p>
    <w:p w14:paraId="4FF2143C" w14:textId="77777777" w:rsidR="00044C92" w:rsidRPr="00306EEB" w:rsidRDefault="00044C92" w:rsidP="004720AA">
      <w:pPr>
        <w:spacing w:line="240" w:lineRule="auto"/>
        <w:ind w:left="360" w:hanging="360"/>
        <w:jc w:val="both"/>
        <w:rPr>
          <w:szCs w:val="22"/>
        </w:rPr>
      </w:pPr>
      <w:proofErr w:type="spellStart"/>
      <w:r w:rsidRPr="00306EEB">
        <w:rPr>
          <w:szCs w:val="22"/>
        </w:rPr>
        <w:t>Morf</w:t>
      </w:r>
      <w:proofErr w:type="spellEnd"/>
      <w:r w:rsidRPr="00306EEB">
        <w:rPr>
          <w:szCs w:val="22"/>
        </w:rPr>
        <w:t xml:space="preserve">, H., 2014: Sunshine and cloud cover prediction based on Markov processes. </w:t>
      </w:r>
      <w:r w:rsidRPr="00306EEB">
        <w:rPr>
          <w:i/>
          <w:iCs/>
          <w:szCs w:val="22"/>
        </w:rPr>
        <w:t>Solar Energy</w:t>
      </w:r>
      <w:r w:rsidRPr="00306EEB">
        <w:rPr>
          <w:szCs w:val="22"/>
        </w:rPr>
        <w:t xml:space="preserve">, </w:t>
      </w:r>
      <w:r w:rsidRPr="00306EEB">
        <w:rPr>
          <w:b/>
          <w:iCs/>
          <w:szCs w:val="22"/>
        </w:rPr>
        <w:t>110</w:t>
      </w:r>
      <w:r w:rsidRPr="00306EEB">
        <w:rPr>
          <w:szCs w:val="22"/>
        </w:rPr>
        <w:t>, 615-626.</w:t>
      </w:r>
    </w:p>
    <w:p w14:paraId="14FF0FBA" w14:textId="77777777" w:rsidR="00044C92" w:rsidRPr="00306EEB" w:rsidRDefault="00044C92" w:rsidP="004720AA">
      <w:pPr>
        <w:spacing w:line="240" w:lineRule="auto"/>
        <w:ind w:left="360" w:hanging="360"/>
        <w:jc w:val="both"/>
        <w:rPr>
          <w:rStyle w:val="apple-style-span"/>
          <w:szCs w:val="22"/>
        </w:rPr>
      </w:pPr>
    </w:p>
    <w:p w14:paraId="180B0274" w14:textId="77777777" w:rsidR="00044C92" w:rsidRPr="00306EEB" w:rsidRDefault="00044C92" w:rsidP="004720AA">
      <w:pPr>
        <w:spacing w:line="240" w:lineRule="auto"/>
        <w:ind w:left="360" w:hanging="360"/>
        <w:jc w:val="both"/>
        <w:rPr>
          <w:rStyle w:val="apple-style-span"/>
          <w:szCs w:val="22"/>
        </w:rPr>
      </w:pPr>
      <w:proofErr w:type="spellStart"/>
      <w:r w:rsidRPr="00306EEB">
        <w:rPr>
          <w:rStyle w:val="apple-style-span"/>
          <w:szCs w:val="22"/>
        </w:rPr>
        <w:t>Notton</w:t>
      </w:r>
      <w:proofErr w:type="spellEnd"/>
      <w:r w:rsidRPr="00306EEB">
        <w:rPr>
          <w:rStyle w:val="apple-style-span"/>
          <w:szCs w:val="22"/>
        </w:rPr>
        <w:t xml:space="preserve">, G., Paoli, C., </w:t>
      </w:r>
      <w:proofErr w:type="spellStart"/>
      <w:r w:rsidRPr="00306EEB">
        <w:rPr>
          <w:rStyle w:val="apple-style-span"/>
          <w:szCs w:val="22"/>
        </w:rPr>
        <w:t>Vasileva</w:t>
      </w:r>
      <w:proofErr w:type="spellEnd"/>
      <w:r w:rsidRPr="00306EEB">
        <w:rPr>
          <w:rStyle w:val="apple-style-span"/>
          <w:szCs w:val="22"/>
        </w:rPr>
        <w:t xml:space="preserve">, S., </w:t>
      </w:r>
      <w:proofErr w:type="spellStart"/>
      <w:r w:rsidRPr="00306EEB">
        <w:rPr>
          <w:rStyle w:val="apple-style-span"/>
          <w:szCs w:val="22"/>
        </w:rPr>
        <w:t>Nivet</w:t>
      </w:r>
      <w:proofErr w:type="spellEnd"/>
      <w:r w:rsidRPr="00306EEB">
        <w:rPr>
          <w:rStyle w:val="apple-style-span"/>
          <w:szCs w:val="22"/>
        </w:rPr>
        <w:t xml:space="preserve">, M-L, </w:t>
      </w:r>
      <w:proofErr w:type="spellStart"/>
      <w:r w:rsidRPr="00306EEB">
        <w:rPr>
          <w:rStyle w:val="apple-style-span"/>
          <w:szCs w:val="22"/>
        </w:rPr>
        <w:t>Canaletti</w:t>
      </w:r>
      <w:proofErr w:type="spellEnd"/>
      <w:r w:rsidRPr="00306EEB">
        <w:rPr>
          <w:rStyle w:val="apple-style-span"/>
          <w:szCs w:val="22"/>
        </w:rPr>
        <w:t xml:space="preserve">, J-L., and C. </w:t>
      </w:r>
      <w:proofErr w:type="spellStart"/>
      <w:r w:rsidRPr="00306EEB">
        <w:rPr>
          <w:rStyle w:val="apple-style-span"/>
          <w:szCs w:val="22"/>
        </w:rPr>
        <w:t>Cristofari</w:t>
      </w:r>
      <w:proofErr w:type="spellEnd"/>
      <w:r w:rsidRPr="00306EEB">
        <w:rPr>
          <w:rStyle w:val="apple-style-span"/>
          <w:szCs w:val="22"/>
        </w:rPr>
        <w:t xml:space="preserve">, 2012: Estimation of hourly global solar irradiation on tilted planes from horizontal one using artificial neural networks. </w:t>
      </w:r>
      <w:r w:rsidRPr="00306EEB">
        <w:rPr>
          <w:rStyle w:val="apple-style-span"/>
          <w:i/>
          <w:szCs w:val="22"/>
        </w:rPr>
        <w:t>Energy</w:t>
      </w:r>
      <w:r w:rsidRPr="00306EEB">
        <w:rPr>
          <w:rStyle w:val="apple-style-span"/>
          <w:szCs w:val="22"/>
        </w:rPr>
        <w:t xml:space="preserve">, </w:t>
      </w:r>
      <w:r w:rsidRPr="00306EEB">
        <w:rPr>
          <w:rStyle w:val="apple-style-span"/>
          <w:b/>
          <w:szCs w:val="22"/>
        </w:rPr>
        <w:t>39</w:t>
      </w:r>
      <w:r w:rsidRPr="00306EEB">
        <w:rPr>
          <w:rStyle w:val="apple-style-span"/>
          <w:szCs w:val="22"/>
        </w:rPr>
        <w:t>, 166-179.</w:t>
      </w:r>
    </w:p>
    <w:p w14:paraId="7969D23C" w14:textId="77777777" w:rsidR="00044C92" w:rsidRPr="00306EEB" w:rsidRDefault="00044C92" w:rsidP="004720AA">
      <w:pPr>
        <w:spacing w:line="240" w:lineRule="auto"/>
        <w:ind w:left="360" w:hanging="360"/>
        <w:jc w:val="both"/>
        <w:rPr>
          <w:rStyle w:val="apple-style-span"/>
          <w:szCs w:val="22"/>
        </w:rPr>
      </w:pPr>
    </w:p>
    <w:p w14:paraId="6BB34D8B" w14:textId="77777777" w:rsidR="00044C92" w:rsidRPr="00306EEB" w:rsidRDefault="00044C92" w:rsidP="004720AA">
      <w:pPr>
        <w:spacing w:line="240" w:lineRule="auto"/>
        <w:ind w:left="360" w:hanging="360"/>
        <w:jc w:val="both"/>
        <w:rPr>
          <w:rStyle w:val="apple-style-span"/>
          <w:szCs w:val="22"/>
        </w:rPr>
      </w:pPr>
      <w:r w:rsidRPr="00306EEB">
        <w:rPr>
          <w:rStyle w:val="apple-style-span"/>
          <w:szCs w:val="22"/>
        </w:rPr>
        <w:t xml:space="preserve">Pedro, H.T.C., and C. F. M. Coimbra, 2012: Assessment of forecasting techniques for solar power prediction with no exogenous inputs. </w:t>
      </w:r>
      <w:r w:rsidRPr="00306EEB">
        <w:rPr>
          <w:rStyle w:val="apple-style-span"/>
          <w:i/>
          <w:szCs w:val="22"/>
        </w:rPr>
        <w:t>Solar Energy</w:t>
      </w:r>
      <w:r w:rsidRPr="00306EEB">
        <w:rPr>
          <w:rStyle w:val="apple-style-span"/>
          <w:szCs w:val="22"/>
        </w:rPr>
        <w:t xml:space="preserve">, </w:t>
      </w:r>
      <w:r w:rsidRPr="00306EEB">
        <w:rPr>
          <w:rStyle w:val="apple-style-span"/>
          <w:b/>
          <w:szCs w:val="22"/>
        </w:rPr>
        <w:t>86</w:t>
      </w:r>
      <w:r w:rsidRPr="00306EEB">
        <w:rPr>
          <w:rStyle w:val="apple-style-span"/>
          <w:szCs w:val="22"/>
        </w:rPr>
        <w:t>, 2017-2028.</w:t>
      </w:r>
    </w:p>
    <w:p w14:paraId="58B2B02D" w14:textId="77777777" w:rsidR="00044C92" w:rsidRPr="00306EEB" w:rsidRDefault="00044C92" w:rsidP="004720AA">
      <w:pPr>
        <w:spacing w:line="240" w:lineRule="auto"/>
        <w:jc w:val="both"/>
        <w:rPr>
          <w:rStyle w:val="apple-style-span"/>
          <w:i/>
          <w:szCs w:val="22"/>
        </w:rPr>
      </w:pPr>
    </w:p>
    <w:p w14:paraId="5A1D90BA" w14:textId="77777777" w:rsidR="00044C92" w:rsidRPr="00306EEB" w:rsidRDefault="00044C92" w:rsidP="004720AA">
      <w:pPr>
        <w:spacing w:line="240" w:lineRule="auto"/>
        <w:ind w:left="360" w:hanging="360"/>
        <w:jc w:val="both"/>
        <w:rPr>
          <w:rStyle w:val="apple-style-span"/>
          <w:szCs w:val="22"/>
        </w:rPr>
      </w:pPr>
      <w:r w:rsidRPr="00306EEB">
        <w:rPr>
          <w:rStyle w:val="apple-style-span"/>
          <w:szCs w:val="22"/>
        </w:rPr>
        <w:t>Quesada-Ruiz, S., Chu, Y., Tovar-</w:t>
      </w:r>
      <w:proofErr w:type="spellStart"/>
      <w:r w:rsidRPr="00306EEB">
        <w:rPr>
          <w:rStyle w:val="apple-style-span"/>
          <w:szCs w:val="22"/>
        </w:rPr>
        <w:t>Pescador</w:t>
      </w:r>
      <w:proofErr w:type="spellEnd"/>
      <w:r w:rsidRPr="00306EEB">
        <w:rPr>
          <w:rStyle w:val="apple-style-span"/>
          <w:szCs w:val="22"/>
        </w:rPr>
        <w:t xml:space="preserve">, J., Pedro, H. T. C., and C. F. M. Coimbra, 2014: Cloud-tracking methodology for intra-hour DNI forecasting. </w:t>
      </w:r>
      <w:r w:rsidRPr="00306EEB">
        <w:rPr>
          <w:rStyle w:val="apple-style-span"/>
          <w:i/>
          <w:szCs w:val="22"/>
        </w:rPr>
        <w:t>Solar Energy</w:t>
      </w:r>
      <w:r w:rsidRPr="00306EEB">
        <w:rPr>
          <w:rStyle w:val="apple-style-span"/>
          <w:szCs w:val="22"/>
        </w:rPr>
        <w:t xml:space="preserve">, </w:t>
      </w:r>
      <w:r w:rsidRPr="00306EEB">
        <w:rPr>
          <w:rStyle w:val="apple-style-span"/>
          <w:b/>
          <w:szCs w:val="22"/>
        </w:rPr>
        <w:t>102</w:t>
      </w:r>
      <w:r w:rsidRPr="00306EEB">
        <w:rPr>
          <w:rStyle w:val="apple-style-span"/>
          <w:szCs w:val="22"/>
        </w:rPr>
        <w:t>, 267-275.</w:t>
      </w:r>
    </w:p>
    <w:p w14:paraId="3B461C5E" w14:textId="77777777" w:rsidR="00044C92" w:rsidRPr="00306EEB" w:rsidRDefault="00044C92" w:rsidP="004720AA">
      <w:pPr>
        <w:spacing w:line="240" w:lineRule="auto"/>
        <w:ind w:left="360" w:hanging="360"/>
        <w:jc w:val="both"/>
        <w:rPr>
          <w:rStyle w:val="apple-style-span"/>
          <w:szCs w:val="22"/>
        </w:rPr>
      </w:pPr>
    </w:p>
    <w:p w14:paraId="0BBB121A" w14:textId="77777777" w:rsidR="00044C92" w:rsidRDefault="00044C92" w:rsidP="004720AA">
      <w:pPr>
        <w:spacing w:line="240" w:lineRule="auto"/>
        <w:ind w:left="360" w:hanging="360"/>
        <w:jc w:val="both"/>
        <w:rPr>
          <w:szCs w:val="22"/>
        </w:rPr>
      </w:pPr>
      <w:r w:rsidRPr="00306EEB">
        <w:rPr>
          <w:szCs w:val="22"/>
        </w:rPr>
        <w:t xml:space="preserve">Reed, D. R., and R. J. Marks, 1998: </w:t>
      </w:r>
      <w:r w:rsidRPr="00306EEB">
        <w:rPr>
          <w:i/>
          <w:szCs w:val="22"/>
        </w:rPr>
        <w:t xml:space="preserve">Neural </w:t>
      </w:r>
      <w:proofErr w:type="spellStart"/>
      <w:r w:rsidRPr="00306EEB">
        <w:rPr>
          <w:i/>
          <w:szCs w:val="22"/>
        </w:rPr>
        <w:t>Smithing</w:t>
      </w:r>
      <w:proofErr w:type="spellEnd"/>
      <w:r w:rsidRPr="00306EEB">
        <w:rPr>
          <w:i/>
          <w:szCs w:val="22"/>
        </w:rPr>
        <w:t>: Supervised Learning in Feedforward Artificial Neural Networks</w:t>
      </w:r>
      <w:r w:rsidRPr="00306EEB">
        <w:rPr>
          <w:szCs w:val="22"/>
        </w:rPr>
        <w:t>. MIT Press, Cambridge, MA, USA.</w:t>
      </w:r>
    </w:p>
    <w:p w14:paraId="170272D3" w14:textId="6DC3F20F" w:rsidR="00722054" w:rsidRPr="00722054" w:rsidRDefault="00722054" w:rsidP="003049D7">
      <w:pPr>
        <w:spacing w:line="240" w:lineRule="auto"/>
        <w:ind w:firstLine="0"/>
        <w:jc w:val="both"/>
        <w:rPr>
          <w:rStyle w:val="apple-style-span"/>
          <w:szCs w:val="22"/>
        </w:rPr>
      </w:pPr>
    </w:p>
    <w:p w14:paraId="2F4EDC3C" w14:textId="0BF2F4A6" w:rsidR="00722054" w:rsidRPr="00722054" w:rsidRDefault="00722054" w:rsidP="00722054">
      <w:pPr>
        <w:spacing w:line="240" w:lineRule="auto"/>
        <w:ind w:left="360" w:hanging="360"/>
        <w:jc w:val="both"/>
        <w:rPr>
          <w:rStyle w:val="apple-style-span"/>
          <w:szCs w:val="22"/>
        </w:rPr>
      </w:pPr>
      <w:proofErr w:type="spellStart"/>
      <w:r>
        <w:rPr>
          <w:rStyle w:val="apple-style-span"/>
          <w:szCs w:val="22"/>
        </w:rPr>
        <w:t>Rosello</w:t>
      </w:r>
      <w:proofErr w:type="spellEnd"/>
      <w:r>
        <w:rPr>
          <w:rStyle w:val="apple-style-span"/>
          <w:szCs w:val="22"/>
        </w:rPr>
        <w:t>, E. G.</w:t>
      </w:r>
      <w:proofErr w:type="gramStart"/>
      <w:r>
        <w:rPr>
          <w:rStyle w:val="apple-style-span"/>
          <w:szCs w:val="22"/>
        </w:rPr>
        <w:t xml:space="preserve">, </w:t>
      </w:r>
      <w:r w:rsidRPr="00722054">
        <w:rPr>
          <w:rStyle w:val="apple-style-span"/>
          <w:szCs w:val="22"/>
        </w:rPr>
        <w:t xml:space="preserve"> Perez</w:t>
      </w:r>
      <w:proofErr w:type="gramEnd"/>
      <w:r w:rsidRPr="00722054">
        <w:rPr>
          <w:rStyle w:val="apple-style-span"/>
          <w:szCs w:val="22"/>
        </w:rPr>
        <w:t>-Schofield, J. B. G.</w:t>
      </w:r>
      <w:r>
        <w:rPr>
          <w:rStyle w:val="apple-style-span"/>
          <w:szCs w:val="22"/>
        </w:rPr>
        <w:t xml:space="preserve">,  </w:t>
      </w:r>
      <w:proofErr w:type="spellStart"/>
      <w:r w:rsidRPr="00722054">
        <w:rPr>
          <w:rStyle w:val="apple-style-span"/>
          <w:szCs w:val="22"/>
        </w:rPr>
        <w:t>Dacos</w:t>
      </w:r>
      <w:r>
        <w:rPr>
          <w:rStyle w:val="apple-style-span"/>
          <w:szCs w:val="22"/>
        </w:rPr>
        <w:t>ta</w:t>
      </w:r>
      <w:proofErr w:type="spellEnd"/>
      <w:r>
        <w:rPr>
          <w:rStyle w:val="apple-style-span"/>
          <w:szCs w:val="22"/>
        </w:rPr>
        <w:t xml:space="preserve">, J. G., and Perez-Cota, M, 2003: </w:t>
      </w:r>
      <w:r w:rsidRPr="00722054">
        <w:rPr>
          <w:rStyle w:val="apple-style-span"/>
          <w:szCs w:val="22"/>
        </w:rPr>
        <w:t>Neuro-Lab: A Highly Reusable Software-Based Environment to Teach Artificial Neural Networks</w:t>
      </w:r>
      <w:r>
        <w:rPr>
          <w:rStyle w:val="apple-style-span"/>
          <w:szCs w:val="22"/>
        </w:rPr>
        <w:t xml:space="preserve"> </w:t>
      </w:r>
      <w:r w:rsidRPr="00722054">
        <w:rPr>
          <w:rStyle w:val="apple-style-span"/>
          <w:szCs w:val="22"/>
        </w:rPr>
        <w:t>C</w:t>
      </w:r>
      <w:r>
        <w:rPr>
          <w:rStyle w:val="apple-style-span"/>
          <w:szCs w:val="22"/>
        </w:rPr>
        <w:t xml:space="preserve">omputer Applications in Engineering Education, </w:t>
      </w:r>
      <w:r w:rsidRPr="00722054">
        <w:rPr>
          <w:rStyle w:val="apple-style-span"/>
          <w:b/>
          <w:szCs w:val="22"/>
        </w:rPr>
        <w:t>11</w:t>
      </w:r>
      <w:r>
        <w:rPr>
          <w:rStyle w:val="apple-style-span"/>
          <w:szCs w:val="22"/>
        </w:rPr>
        <w:t>; 93-102.</w:t>
      </w:r>
    </w:p>
    <w:p w14:paraId="22B21BA8" w14:textId="77777777" w:rsidR="00044C92" w:rsidRPr="00306EEB" w:rsidRDefault="00044C92" w:rsidP="004720AA">
      <w:pPr>
        <w:spacing w:line="240" w:lineRule="auto"/>
        <w:ind w:left="360" w:hanging="360"/>
        <w:jc w:val="both"/>
        <w:rPr>
          <w:rStyle w:val="apple-style-span"/>
          <w:szCs w:val="22"/>
        </w:rPr>
      </w:pPr>
    </w:p>
    <w:p w14:paraId="25DBB5F4" w14:textId="77777777" w:rsidR="00044C92" w:rsidRPr="00306EEB" w:rsidRDefault="00044C92" w:rsidP="004720AA">
      <w:pPr>
        <w:spacing w:line="240" w:lineRule="auto"/>
        <w:ind w:left="360" w:hanging="360"/>
        <w:jc w:val="both"/>
        <w:rPr>
          <w:szCs w:val="22"/>
        </w:rPr>
      </w:pPr>
      <w:r w:rsidRPr="00306EEB">
        <w:rPr>
          <w:szCs w:val="22"/>
        </w:rPr>
        <w:t xml:space="preserve">Rosenblatt, F., 1958: The Perceptron: A Probabilistic Model for Information Storage and Organization in the Brain. </w:t>
      </w:r>
      <w:r w:rsidRPr="00306EEB">
        <w:rPr>
          <w:i/>
          <w:szCs w:val="22"/>
        </w:rPr>
        <w:t>In. Psychological Review</w:t>
      </w:r>
      <w:r w:rsidRPr="00306EEB">
        <w:rPr>
          <w:szCs w:val="22"/>
        </w:rPr>
        <w:t xml:space="preserve">, </w:t>
      </w:r>
      <w:r w:rsidRPr="00306EEB">
        <w:rPr>
          <w:b/>
          <w:szCs w:val="22"/>
        </w:rPr>
        <w:t>65:6</w:t>
      </w:r>
      <w:r w:rsidRPr="00306EEB">
        <w:rPr>
          <w:szCs w:val="22"/>
        </w:rPr>
        <w:t>, 386-408.</w:t>
      </w:r>
    </w:p>
    <w:p w14:paraId="78E014C6" w14:textId="77777777" w:rsidR="00044C92" w:rsidRPr="00306EEB" w:rsidRDefault="00044C92" w:rsidP="004720AA">
      <w:pPr>
        <w:spacing w:line="240" w:lineRule="auto"/>
        <w:ind w:left="360" w:hanging="360"/>
        <w:jc w:val="both"/>
        <w:rPr>
          <w:szCs w:val="22"/>
        </w:rPr>
      </w:pPr>
    </w:p>
    <w:p w14:paraId="4789E68B" w14:textId="77777777" w:rsidR="00044C92" w:rsidRPr="00306EEB" w:rsidRDefault="00044C92" w:rsidP="004720AA">
      <w:pPr>
        <w:spacing w:line="240" w:lineRule="auto"/>
        <w:ind w:left="360" w:hanging="360"/>
        <w:jc w:val="both"/>
        <w:rPr>
          <w:szCs w:val="22"/>
        </w:rPr>
      </w:pPr>
      <w:proofErr w:type="spellStart"/>
      <w:r w:rsidRPr="00306EEB">
        <w:rPr>
          <w:szCs w:val="22"/>
        </w:rPr>
        <w:t>Tapakis</w:t>
      </w:r>
      <w:proofErr w:type="spellEnd"/>
      <w:r w:rsidRPr="00306EEB">
        <w:rPr>
          <w:szCs w:val="22"/>
        </w:rPr>
        <w:t xml:space="preserve">, R., and A. G. </w:t>
      </w:r>
      <w:proofErr w:type="spellStart"/>
      <w:r w:rsidRPr="00306EEB">
        <w:rPr>
          <w:szCs w:val="22"/>
        </w:rPr>
        <w:t>Charalambides</w:t>
      </w:r>
      <w:proofErr w:type="spellEnd"/>
      <w:r w:rsidRPr="00306EEB">
        <w:rPr>
          <w:szCs w:val="22"/>
        </w:rPr>
        <w:t xml:space="preserve">, 2013: Equipment and methodologies for cloud detection and classification: A review. </w:t>
      </w:r>
      <w:r w:rsidRPr="00306EEB">
        <w:rPr>
          <w:i/>
          <w:szCs w:val="22"/>
        </w:rPr>
        <w:t xml:space="preserve"> Solar Energy</w:t>
      </w:r>
      <w:r w:rsidRPr="00306EEB">
        <w:rPr>
          <w:szCs w:val="22"/>
        </w:rPr>
        <w:t xml:space="preserve">, </w:t>
      </w:r>
      <w:r w:rsidRPr="00306EEB">
        <w:rPr>
          <w:b/>
          <w:szCs w:val="22"/>
        </w:rPr>
        <w:t>95</w:t>
      </w:r>
      <w:r w:rsidRPr="00306EEB">
        <w:rPr>
          <w:szCs w:val="22"/>
        </w:rPr>
        <w:t>, 392-430.</w:t>
      </w:r>
    </w:p>
    <w:p w14:paraId="4B9DCC33" w14:textId="77777777" w:rsidR="00044C92" w:rsidRPr="00306EEB" w:rsidRDefault="00044C92" w:rsidP="00912A4A">
      <w:pPr>
        <w:spacing w:line="240" w:lineRule="auto"/>
        <w:ind w:firstLine="0"/>
        <w:jc w:val="both"/>
        <w:rPr>
          <w:rStyle w:val="apple-style-span"/>
          <w:szCs w:val="22"/>
        </w:rPr>
      </w:pPr>
    </w:p>
    <w:p w14:paraId="7FAFA96C" w14:textId="77777777" w:rsidR="00044C92" w:rsidRPr="00306EEB" w:rsidRDefault="00044C92" w:rsidP="004720AA">
      <w:pPr>
        <w:spacing w:line="240" w:lineRule="auto"/>
        <w:ind w:left="360" w:hanging="360"/>
        <w:jc w:val="both"/>
        <w:rPr>
          <w:rStyle w:val="apple-style-span"/>
          <w:szCs w:val="22"/>
        </w:rPr>
      </w:pPr>
      <w:proofErr w:type="spellStart"/>
      <w:r w:rsidRPr="00306EEB">
        <w:rPr>
          <w:rStyle w:val="apple-style-span"/>
          <w:szCs w:val="22"/>
        </w:rPr>
        <w:t>Voyant</w:t>
      </w:r>
      <w:proofErr w:type="spellEnd"/>
      <w:r w:rsidRPr="00306EEB">
        <w:rPr>
          <w:rStyle w:val="apple-style-span"/>
          <w:szCs w:val="22"/>
        </w:rPr>
        <w:t xml:space="preserve">, C., </w:t>
      </w:r>
      <w:proofErr w:type="spellStart"/>
      <w:r w:rsidRPr="00306EEB">
        <w:rPr>
          <w:rStyle w:val="apple-style-span"/>
          <w:szCs w:val="22"/>
        </w:rPr>
        <w:t>Muselli</w:t>
      </w:r>
      <w:proofErr w:type="spellEnd"/>
      <w:r w:rsidRPr="00306EEB">
        <w:rPr>
          <w:rStyle w:val="apple-style-span"/>
          <w:szCs w:val="22"/>
        </w:rPr>
        <w:t xml:space="preserve">, M., Paoli, C., and M-L. </w:t>
      </w:r>
      <w:proofErr w:type="spellStart"/>
      <w:r w:rsidRPr="00306EEB">
        <w:rPr>
          <w:rStyle w:val="apple-style-span"/>
          <w:szCs w:val="22"/>
        </w:rPr>
        <w:t>Nivet</w:t>
      </w:r>
      <w:proofErr w:type="spellEnd"/>
      <w:r w:rsidRPr="00306EEB">
        <w:rPr>
          <w:rStyle w:val="apple-style-span"/>
          <w:szCs w:val="22"/>
        </w:rPr>
        <w:t xml:space="preserve">, 2014: Numerical Weather Prediction (NWP) and hybrid ARMA/ANN to predict global radiation. </w:t>
      </w:r>
      <w:r w:rsidRPr="00306EEB">
        <w:rPr>
          <w:i/>
          <w:iCs/>
          <w:szCs w:val="22"/>
        </w:rPr>
        <w:t>Energy</w:t>
      </w:r>
      <w:r w:rsidRPr="00306EEB">
        <w:rPr>
          <w:szCs w:val="22"/>
        </w:rPr>
        <w:t xml:space="preserve">, </w:t>
      </w:r>
      <w:r w:rsidRPr="00306EEB">
        <w:rPr>
          <w:b/>
          <w:iCs/>
          <w:szCs w:val="22"/>
        </w:rPr>
        <w:t>39</w:t>
      </w:r>
      <w:r w:rsidRPr="00306EEB">
        <w:rPr>
          <w:szCs w:val="22"/>
        </w:rPr>
        <w:t>:1, 341-355.</w:t>
      </w:r>
    </w:p>
    <w:p w14:paraId="11039FD4" w14:textId="77777777" w:rsidR="00044C92" w:rsidRPr="00306EEB" w:rsidRDefault="00044C92" w:rsidP="004720AA">
      <w:pPr>
        <w:spacing w:line="240" w:lineRule="auto"/>
        <w:ind w:left="360" w:hanging="360"/>
        <w:jc w:val="both"/>
        <w:rPr>
          <w:rStyle w:val="apple-style-span"/>
          <w:i/>
          <w:szCs w:val="22"/>
        </w:rPr>
      </w:pPr>
    </w:p>
    <w:p w14:paraId="53174AC7" w14:textId="77777777" w:rsidR="00044C92" w:rsidRPr="00306EEB" w:rsidRDefault="00044C92" w:rsidP="004720AA">
      <w:pPr>
        <w:spacing w:line="240" w:lineRule="auto"/>
        <w:ind w:left="360" w:hanging="360"/>
        <w:rPr>
          <w:rStyle w:val="apple-style-span"/>
          <w:szCs w:val="22"/>
        </w:rPr>
      </w:pPr>
      <w:proofErr w:type="spellStart"/>
      <w:r w:rsidRPr="00306EEB">
        <w:rPr>
          <w:rStyle w:val="apple-style-span"/>
          <w:szCs w:val="22"/>
        </w:rPr>
        <w:t>Voyant</w:t>
      </w:r>
      <w:proofErr w:type="spellEnd"/>
      <w:r w:rsidRPr="00306EEB">
        <w:rPr>
          <w:rStyle w:val="apple-style-span"/>
          <w:szCs w:val="22"/>
        </w:rPr>
        <w:t xml:space="preserve">, C., </w:t>
      </w:r>
      <w:proofErr w:type="spellStart"/>
      <w:r w:rsidRPr="00306EEB">
        <w:rPr>
          <w:rStyle w:val="apple-style-span"/>
          <w:szCs w:val="22"/>
        </w:rPr>
        <w:t>Muselli</w:t>
      </w:r>
      <w:proofErr w:type="spellEnd"/>
      <w:r w:rsidRPr="00306EEB">
        <w:rPr>
          <w:rStyle w:val="apple-style-span"/>
          <w:szCs w:val="22"/>
        </w:rPr>
        <w:t xml:space="preserve">, M., Paoli, C., and M-L. </w:t>
      </w:r>
      <w:proofErr w:type="spellStart"/>
      <w:r w:rsidRPr="00306EEB">
        <w:rPr>
          <w:rStyle w:val="apple-style-span"/>
          <w:szCs w:val="22"/>
        </w:rPr>
        <w:t>Nivet</w:t>
      </w:r>
      <w:proofErr w:type="spellEnd"/>
      <w:r w:rsidRPr="00306EEB">
        <w:rPr>
          <w:rStyle w:val="apple-style-span"/>
          <w:szCs w:val="22"/>
        </w:rPr>
        <w:t xml:space="preserve">, 2013: Hybrid methodology for hourly global radiation forecasting in Mediterranean area. </w:t>
      </w:r>
      <w:r w:rsidRPr="00306EEB">
        <w:rPr>
          <w:rStyle w:val="apple-style-span"/>
          <w:i/>
          <w:szCs w:val="22"/>
        </w:rPr>
        <w:t>Renewable Energy</w:t>
      </w:r>
      <w:r w:rsidRPr="00306EEB">
        <w:rPr>
          <w:rStyle w:val="apple-style-span"/>
          <w:szCs w:val="22"/>
        </w:rPr>
        <w:t xml:space="preserve">, </w:t>
      </w:r>
      <w:r w:rsidRPr="00306EEB">
        <w:rPr>
          <w:rStyle w:val="apple-style-span"/>
          <w:b/>
          <w:szCs w:val="22"/>
        </w:rPr>
        <w:t>53</w:t>
      </w:r>
      <w:r w:rsidRPr="00306EEB">
        <w:rPr>
          <w:rStyle w:val="apple-style-span"/>
          <w:szCs w:val="22"/>
        </w:rPr>
        <w:t>, 1-11.</w:t>
      </w:r>
    </w:p>
    <w:p w14:paraId="3F9C8810" w14:textId="77777777" w:rsidR="00044C92" w:rsidRPr="00306EEB" w:rsidRDefault="00044C92" w:rsidP="004720AA">
      <w:pPr>
        <w:spacing w:line="240" w:lineRule="auto"/>
        <w:ind w:left="360" w:hanging="360"/>
        <w:rPr>
          <w:rStyle w:val="apple-style-span"/>
          <w:szCs w:val="22"/>
        </w:rPr>
      </w:pPr>
    </w:p>
    <w:p w14:paraId="64B0D917" w14:textId="30382AD7" w:rsidR="00A543D0" w:rsidRDefault="00044C92">
      <w:pPr>
        <w:tabs>
          <w:tab w:val="clear" w:pos="720"/>
        </w:tabs>
        <w:suppressAutoHyphens w:val="0"/>
        <w:spacing w:line="240" w:lineRule="auto"/>
        <w:ind w:firstLine="0"/>
        <w:rPr>
          <w:rFonts w:eastAsia="MS Mincho"/>
          <w:bCs/>
          <w:sz w:val="24"/>
        </w:rPr>
      </w:pPr>
      <w:proofErr w:type="spellStart"/>
      <w:r w:rsidRPr="00306EEB">
        <w:rPr>
          <w:szCs w:val="22"/>
        </w:rPr>
        <w:t>Zagouras</w:t>
      </w:r>
      <w:proofErr w:type="spellEnd"/>
      <w:r w:rsidRPr="00306EEB">
        <w:rPr>
          <w:szCs w:val="22"/>
        </w:rPr>
        <w:t xml:space="preserve">, A., </w:t>
      </w:r>
      <w:proofErr w:type="spellStart"/>
      <w:r w:rsidRPr="00306EEB">
        <w:rPr>
          <w:szCs w:val="22"/>
        </w:rPr>
        <w:t>Kazantzidis</w:t>
      </w:r>
      <w:proofErr w:type="spellEnd"/>
      <w:r w:rsidRPr="00306EEB">
        <w:rPr>
          <w:szCs w:val="22"/>
        </w:rPr>
        <w:t xml:space="preserve">, A., </w:t>
      </w:r>
      <w:proofErr w:type="spellStart"/>
      <w:r w:rsidRPr="00306EEB">
        <w:rPr>
          <w:szCs w:val="22"/>
        </w:rPr>
        <w:t>Nikitidou</w:t>
      </w:r>
      <w:proofErr w:type="spellEnd"/>
      <w:r w:rsidRPr="00306EEB">
        <w:rPr>
          <w:szCs w:val="22"/>
        </w:rPr>
        <w:t xml:space="preserve">, E., and A. A. </w:t>
      </w:r>
      <w:proofErr w:type="spellStart"/>
      <w:r w:rsidRPr="00306EEB">
        <w:rPr>
          <w:szCs w:val="22"/>
        </w:rPr>
        <w:t>Argiriou</w:t>
      </w:r>
      <w:proofErr w:type="spellEnd"/>
      <w:r w:rsidRPr="00306EEB">
        <w:rPr>
          <w:szCs w:val="22"/>
        </w:rPr>
        <w:t xml:space="preserve">, 2013: Determination of measuring sites for solar irradiance, based on cluster analysis of satellite-derived cloud estimations. </w:t>
      </w:r>
      <w:r w:rsidRPr="00306EEB">
        <w:rPr>
          <w:i/>
          <w:iCs/>
          <w:szCs w:val="22"/>
        </w:rPr>
        <w:t>Solar Energy</w:t>
      </w:r>
      <w:r w:rsidRPr="00306EEB">
        <w:rPr>
          <w:szCs w:val="22"/>
        </w:rPr>
        <w:t xml:space="preserve">, </w:t>
      </w:r>
      <w:r w:rsidRPr="00306EEB">
        <w:rPr>
          <w:b/>
          <w:i/>
          <w:iCs/>
          <w:szCs w:val="22"/>
        </w:rPr>
        <w:t>97</w:t>
      </w:r>
      <w:r w:rsidRPr="00306EEB">
        <w:rPr>
          <w:szCs w:val="22"/>
        </w:rPr>
        <w:t>, 1-11.</w:t>
      </w:r>
      <w:bookmarkStart w:id="22" w:name="_Toc300934981"/>
      <w:bookmarkStart w:id="23" w:name="_Toc300934982"/>
      <w:bookmarkStart w:id="24" w:name="_Toc300934983"/>
      <w:bookmarkStart w:id="25" w:name="_Toc300934984"/>
      <w:bookmarkStart w:id="26" w:name="_Toc300934985"/>
      <w:bookmarkStart w:id="27" w:name="_Toc300934986"/>
    </w:p>
    <w:p w14:paraId="20DC489E" w14:textId="1DA2D2C7" w:rsidR="008737B5" w:rsidRPr="00C87ABE" w:rsidRDefault="00842251" w:rsidP="008737B5">
      <w:pPr>
        <w:pStyle w:val="Caption"/>
        <w:rPr>
          <w:color w:val="auto"/>
          <w:sz w:val="24"/>
          <w:szCs w:val="24"/>
        </w:rPr>
      </w:pPr>
      <w:r w:rsidRPr="00C87ABE">
        <w:rPr>
          <w:color w:val="auto"/>
          <w:sz w:val="24"/>
          <w:szCs w:val="24"/>
        </w:rPr>
        <w:lastRenderedPageBreak/>
        <w:t>Table 1</w:t>
      </w:r>
      <w:r w:rsidR="008737B5" w:rsidRPr="00C87ABE">
        <w:rPr>
          <w:color w:val="auto"/>
          <w:sz w:val="24"/>
          <w:szCs w:val="24"/>
        </w:rPr>
        <w:t>. List of instances in each training, testing and validation datasets for both BNL and SMUD.</w:t>
      </w:r>
      <w:bookmarkEnd w:id="22"/>
      <w:r w:rsidR="00F548DC">
        <w:rPr>
          <w:color w:val="auto"/>
          <w:sz w:val="24"/>
          <w:szCs w:val="24"/>
        </w:rPr>
        <w:t xml:space="preserve"> The data was randomly split into the different partitions.</w:t>
      </w:r>
    </w:p>
    <w:tbl>
      <w:tblPr>
        <w:tblW w:w="8289" w:type="dxa"/>
        <w:tblInd w:w="288" w:type="dxa"/>
        <w:tblLayout w:type="fixed"/>
        <w:tblCellMar>
          <w:left w:w="288" w:type="dxa"/>
          <w:right w:w="288" w:type="dxa"/>
        </w:tblCellMar>
        <w:tblLook w:val="04A0" w:firstRow="1" w:lastRow="0" w:firstColumn="1" w:lastColumn="0" w:noHBand="0" w:noVBand="1"/>
      </w:tblPr>
      <w:tblGrid>
        <w:gridCol w:w="1710"/>
        <w:gridCol w:w="3303"/>
        <w:gridCol w:w="3276"/>
      </w:tblGrid>
      <w:tr w:rsidR="008737B5" w:rsidRPr="00C87ABE" w14:paraId="037FBC69" w14:textId="77777777" w:rsidTr="007668BB">
        <w:trPr>
          <w:trHeight w:val="471"/>
        </w:trPr>
        <w:tc>
          <w:tcPr>
            <w:tcW w:w="828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3DDA8727" w14:textId="77777777" w:rsidR="008737B5" w:rsidRPr="00C87ABE" w:rsidRDefault="008737B5" w:rsidP="005920DE">
            <w:pPr>
              <w:jc w:val="center"/>
              <w:rPr>
                <w:b/>
                <w:bCs/>
                <w:color w:val="000000"/>
                <w:sz w:val="24"/>
              </w:rPr>
            </w:pPr>
            <w:r w:rsidRPr="00C87ABE">
              <w:rPr>
                <w:b/>
                <w:bCs/>
                <w:color w:val="000000"/>
                <w:sz w:val="24"/>
              </w:rPr>
              <w:t>SMUD</w:t>
            </w:r>
          </w:p>
        </w:tc>
      </w:tr>
      <w:tr w:rsidR="008737B5" w:rsidRPr="00C87ABE" w14:paraId="7CE2B060" w14:textId="77777777" w:rsidTr="007668BB">
        <w:trPr>
          <w:trHeight w:val="471"/>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566BC86F" w14:textId="77777777" w:rsidR="008737B5" w:rsidRPr="00C87ABE" w:rsidRDefault="008737B5" w:rsidP="005920DE">
            <w:pPr>
              <w:spacing w:line="240" w:lineRule="auto"/>
              <w:ind w:firstLine="0"/>
              <w:jc w:val="center"/>
              <w:rPr>
                <w:color w:val="000000"/>
                <w:sz w:val="24"/>
              </w:rPr>
            </w:pPr>
            <w:r w:rsidRPr="00C87ABE">
              <w:rPr>
                <w:color w:val="000000"/>
                <w:sz w:val="24"/>
              </w:rPr>
              <w:t>Dataset</w:t>
            </w:r>
          </w:p>
        </w:tc>
        <w:tc>
          <w:tcPr>
            <w:tcW w:w="3303" w:type="dxa"/>
            <w:tcBorders>
              <w:top w:val="nil"/>
              <w:left w:val="nil"/>
              <w:bottom w:val="single" w:sz="4" w:space="0" w:color="auto"/>
              <w:right w:val="single" w:sz="4" w:space="0" w:color="auto"/>
            </w:tcBorders>
            <w:shd w:val="clear" w:color="auto" w:fill="auto"/>
            <w:noWrap/>
            <w:vAlign w:val="center"/>
          </w:tcPr>
          <w:p w14:paraId="7FF51E51" w14:textId="77777777" w:rsidR="008737B5" w:rsidRPr="00C87ABE" w:rsidRDefault="008737B5" w:rsidP="005920DE">
            <w:pPr>
              <w:spacing w:line="240" w:lineRule="auto"/>
              <w:ind w:firstLine="0"/>
              <w:jc w:val="center"/>
              <w:rPr>
                <w:color w:val="000000"/>
                <w:sz w:val="24"/>
              </w:rPr>
            </w:pPr>
            <w:r w:rsidRPr="00C87ABE">
              <w:rPr>
                <w:color w:val="000000"/>
                <w:sz w:val="24"/>
              </w:rPr>
              <w:t>Satellite Derived Cloudy Instances</w:t>
            </w:r>
          </w:p>
        </w:tc>
        <w:tc>
          <w:tcPr>
            <w:tcW w:w="3276" w:type="dxa"/>
            <w:tcBorders>
              <w:top w:val="nil"/>
              <w:left w:val="nil"/>
              <w:bottom w:val="single" w:sz="4" w:space="0" w:color="auto"/>
              <w:right w:val="single" w:sz="4" w:space="0" w:color="auto"/>
            </w:tcBorders>
            <w:shd w:val="clear" w:color="auto" w:fill="auto"/>
            <w:noWrap/>
            <w:vAlign w:val="center"/>
          </w:tcPr>
          <w:p w14:paraId="7998FB04" w14:textId="77777777" w:rsidR="008737B5" w:rsidRPr="00C87ABE" w:rsidRDefault="008737B5" w:rsidP="005920DE">
            <w:pPr>
              <w:spacing w:line="240" w:lineRule="auto"/>
              <w:ind w:firstLine="0"/>
              <w:jc w:val="center"/>
              <w:rPr>
                <w:color w:val="000000"/>
                <w:sz w:val="24"/>
              </w:rPr>
            </w:pPr>
            <w:r w:rsidRPr="00C87ABE">
              <w:rPr>
                <w:color w:val="000000"/>
                <w:sz w:val="24"/>
              </w:rPr>
              <w:t>Satellite Derived Clear Instances</w:t>
            </w:r>
          </w:p>
        </w:tc>
      </w:tr>
      <w:tr w:rsidR="008737B5" w:rsidRPr="00C87ABE" w14:paraId="0B37DE65" w14:textId="77777777" w:rsidTr="007668BB">
        <w:trPr>
          <w:trHeight w:val="471"/>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1F9550AF" w14:textId="77777777" w:rsidR="008737B5" w:rsidRPr="00C87ABE" w:rsidRDefault="008737B5" w:rsidP="005920DE">
            <w:pPr>
              <w:spacing w:line="240" w:lineRule="auto"/>
              <w:ind w:firstLine="0"/>
              <w:jc w:val="center"/>
              <w:rPr>
                <w:color w:val="000000"/>
                <w:sz w:val="24"/>
              </w:rPr>
            </w:pPr>
            <w:r w:rsidRPr="00C87ABE">
              <w:rPr>
                <w:color w:val="000000"/>
                <w:sz w:val="24"/>
              </w:rPr>
              <w:t>Train</w:t>
            </w:r>
          </w:p>
        </w:tc>
        <w:tc>
          <w:tcPr>
            <w:tcW w:w="3303" w:type="dxa"/>
            <w:tcBorders>
              <w:top w:val="nil"/>
              <w:left w:val="nil"/>
              <w:bottom w:val="single" w:sz="4" w:space="0" w:color="auto"/>
              <w:right w:val="single" w:sz="4" w:space="0" w:color="auto"/>
            </w:tcBorders>
            <w:shd w:val="clear" w:color="auto" w:fill="auto"/>
            <w:noWrap/>
            <w:vAlign w:val="center"/>
          </w:tcPr>
          <w:p w14:paraId="3E44FC27" w14:textId="77777777" w:rsidR="008737B5" w:rsidRPr="00C87ABE" w:rsidRDefault="008737B5" w:rsidP="005920DE">
            <w:pPr>
              <w:spacing w:line="240" w:lineRule="auto"/>
              <w:jc w:val="center"/>
              <w:rPr>
                <w:color w:val="000000"/>
                <w:sz w:val="24"/>
              </w:rPr>
            </w:pPr>
            <w:r w:rsidRPr="00C87ABE">
              <w:rPr>
                <w:color w:val="000000"/>
                <w:sz w:val="24"/>
              </w:rPr>
              <w:t>9081</w:t>
            </w:r>
          </w:p>
        </w:tc>
        <w:tc>
          <w:tcPr>
            <w:tcW w:w="3276" w:type="dxa"/>
            <w:tcBorders>
              <w:top w:val="nil"/>
              <w:left w:val="nil"/>
              <w:bottom w:val="single" w:sz="4" w:space="0" w:color="auto"/>
              <w:right w:val="single" w:sz="4" w:space="0" w:color="auto"/>
            </w:tcBorders>
            <w:shd w:val="clear" w:color="auto" w:fill="auto"/>
            <w:noWrap/>
            <w:vAlign w:val="center"/>
          </w:tcPr>
          <w:p w14:paraId="778A2EF1" w14:textId="77777777" w:rsidR="008737B5" w:rsidRPr="00C87ABE" w:rsidRDefault="008737B5" w:rsidP="005920DE">
            <w:pPr>
              <w:spacing w:line="240" w:lineRule="auto"/>
              <w:jc w:val="center"/>
              <w:rPr>
                <w:color w:val="000000"/>
                <w:sz w:val="24"/>
              </w:rPr>
            </w:pPr>
            <w:r w:rsidRPr="00C87ABE">
              <w:rPr>
                <w:color w:val="000000"/>
                <w:sz w:val="24"/>
              </w:rPr>
              <w:t>15642</w:t>
            </w:r>
          </w:p>
        </w:tc>
      </w:tr>
      <w:tr w:rsidR="008737B5" w:rsidRPr="00C87ABE" w14:paraId="603E9CDD" w14:textId="77777777" w:rsidTr="007668BB">
        <w:trPr>
          <w:trHeight w:val="471"/>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795B927E" w14:textId="77777777" w:rsidR="008737B5" w:rsidRPr="00C87ABE" w:rsidRDefault="008737B5" w:rsidP="005920DE">
            <w:pPr>
              <w:spacing w:line="240" w:lineRule="auto"/>
              <w:ind w:firstLine="0"/>
              <w:jc w:val="center"/>
              <w:rPr>
                <w:color w:val="000000"/>
                <w:sz w:val="24"/>
              </w:rPr>
            </w:pPr>
            <w:r w:rsidRPr="00C87ABE">
              <w:rPr>
                <w:color w:val="000000"/>
                <w:sz w:val="24"/>
              </w:rPr>
              <w:t>Sensitivity Test</w:t>
            </w:r>
          </w:p>
        </w:tc>
        <w:tc>
          <w:tcPr>
            <w:tcW w:w="3303" w:type="dxa"/>
            <w:tcBorders>
              <w:top w:val="nil"/>
              <w:left w:val="nil"/>
              <w:bottom w:val="single" w:sz="4" w:space="0" w:color="auto"/>
              <w:right w:val="single" w:sz="4" w:space="0" w:color="auto"/>
            </w:tcBorders>
            <w:shd w:val="clear" w:color="auto" w:fill="auto"/>
            <w:noWrap/>
            <w:vAlign w:val="center"/>
          </w:tcPr>
          <w:p w14:paraId="490FE8C1" w14:textId="77777777" w:rsidR="008737B5" w:rsidRPr="00C87ABE" w:rsidRDefault="008737B5" w:rsidP="005920DE">
            <w:pPr>
              <w:spacing w:line="240" w:lineRule="auto"/>
              <w:jc w:val="center"/>
              <w:rPr>
                <w:color w:val="000000"/>
                <w:sz w:val="24"/>
              </w:rPr>
            </w:pPr>
            <w:r w:rsidRPr="00C87ABE">
              <w:rPr>
                <w:color w:val="000000"/>
                <w:sz w:val="24"/>
              </w:rPr>
              <w:t>4402</w:t>
            </w:r>
          </w:p>
        </w:tc>
        <w:tc>
          <w:tcPr>
            <w:tcW w:w="3276" w:type="dxa"/>
            <w:tcBorders>
              <w:top w:val="nil"/>
              <w:left w:val="nil"/>
              <w:bottom w:val="single" w:sz="4" w:space="0" w:color="auto"/>
              <w:right w:val="single" w:sz="4" w:space="0" w:color="auto"/>
            </w:tcBorders>
            <w:shd w:val="clear" w:color="auto" w:fill="auto"/>
            <w:noWrap/>
            <w:vAlign w:val="center"/>
          </w:tcPr>
          <w:p w14:paraId="02610D0F" w14:textId="77777777" w:rsidR="008737B5" w:rsidRPr="00C87ABE" w:rsidRDefault="008737B5" w:rsidP="005920DE">
            <w:pPr>
              <w:spacing w:line="240" w:lineRule="auto"/>
              <w:jc w:val="center"/>
              <w:rPr>
                <w:color w:val="000000"/>
                <w:sz w:val="24"/>
              </w:rPr>
            </w:pPr>
            <w:r w:rsidRPr="00C87ABE">
              <w:rPr>
                <w:color w:val="000000"/>
                <w:sz w:val="24"/>
              </w:rPr>
              <w:t>7685</w:t>
            </w:r>
          </w:p>
        </w:tc>
      </w:tr>
      <w:tr w:rsidR="008737B5" w:rsidRPr="00C87ABE" w14:paraId="20F2E99B" w14:textId="77777777" w:rsidTr="007668BB">
        <w:trPr>
          <w:trHeight w:val="471"/>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5D14AEC4" w14:textId="77777777" w:rsidR="008737B5" w:rsidRPr="00C87ABE" w:rsidRDefault="008737B5" w:rsidP="005920DE">
            <w:pPr>
              <w:spacing w:line="240" w:lineRule="auto"/>
              <w:ind w:firstLine="0"/>
              <w:jc w:val="center"/>
              <w:rPr>
                <w:color w:val="000000"/>
                <w:sz w:val="24"/>
              </w:rPr>
            </w:pPr>
            <w:r w:rsidRPr="00C87ABE">
              <w:rPr>
                <w:color w:val="000000"/>
                <w:sz w:val="24"/>
              </w:rPr>
              <w:t>Validation</w:t>
            </w:r>
          </w:p>
        </w:tc>
        <w:tc>
          <w:tcPr>
            <w:tcW w:w="3303" w:type="dxa"/>
            <w:tcBorders>
              <w:top w:val="nil"/>
              <w:left w:val="nil"/>
              <w:bottom w:val="single" w:sz="4" w:space="0" w:color="auto"/>
              <w:right w:val="single" w:sz="4" w:space="0" w:color="auto"/>
            </w:tcBorders>
            <w:shd w:val="clear" w:color="auto" w:fill="auto"/>
            <w:noWrap/>
            <w:vAlign w:val="center"/>
          </w:tcPr>
          <w:p w14:paraId="7D8175EF" w14:textId="77777777" w:rsidR="008737B5" w:rsidRPr="00C87ABE" w:rsidRDefault="008737B5" w:rsidP="005920DE">
            <w:pPr>
              <w:spacing w:line="240" w:lineRule="auto"/>
              <w:jc w:val="center"/>
              <w:rPr>
                <w:color w:val="000000"/>
                <w:sz w:val="24"/>
              </w:rPr>
            </w:pPr>
            <w:r w:rsidRPr="00C87ABE">
              <w:rPr>
                <w:color w:val="000000"/>
                <w:sz w:val="24"/>
              </w:rPr>
              <w:t>6536</w:t>
            </w:r>
          </w:p>
        </w:tc>
        <w:tc>
          <w:tcPr>
            <w:tcW w:w="3276" w:type="dxa"/>
            <w:tcBorders>
              <w:top w:val="nil"/>
              <w:left w:val="nil"/>
              <w:bottom w:val="single" w:sz="4" w:space="0" w:color="auto"/>
              <w:right w:val="single" w:sz="4" w:space="0" w:color="auto"/>
            </w:tcBorders>
            <w:shd w:val="clear" w:color="auto" w:fill="auto"/>
            <w:noWrap/>
            <w:vAlign w:val="center"/>
          </w:tcPr>
          <w:p w14:paraId="6A963EC5" w14:textId="77777777" w:rsidR="008737B5" w:rsidRPr="00C87ABE" w:rsidRDefault="008737B5" w:rsidP="005920DE">
            <w:pPr>
              <w:keepNext/>
              <w:spacing w:line="240" w:lineRule="auto"/>
              <w:jc w:val="center"/>
              <w:rPr>
                <w:color w:val="000000"/>
                <w:sz w:val="24"/>
              </w:rPr>
            </w:pPr>
            <w:r w:rsidRPr="00C87ABE">
              <w:rPr>
                <w:color w:val="000000"/>
                <w:sz w:val="24"/>
              </w:rPr>
              <w:t>11595</w:t>
            </w:r>
          </w:p>
        </w:tc>
      </w:tr>
    </w:tbl>
    <w:p w14:paraId="21F89137" w14:textId="77777777" w:rsidR="008737B5" w:rsidRPr="00C87ABE" w:rsidRDefault="008737B5" w:rsidP="008737B5">
      <w:pPr>
        <w:pStyle w:val="Caption"/>
        <w:rPr>
          <w:sz w:val="24"/>
          <w:szCs w:val="24"/>
        </w:rPr>
      </w:pPr>
    </w:p>
    <w:tbl>
      <w:tblPr>
        <w:tblW w:w="8289" w:type="dxa"/>
        <w:tblInd w:w="288" w:type="dxa"/>
        <w:tblLayout w:type="fixed"/>
        <w:tblCellMar>
          <w:left w:w="288" w:type="dxa"/>
          <w:right w:w="288" w:type="dxa"/>
        </w:tblCellMar>
        <w:tblLook w:val="04A0" w:firstRow="1" w:lastRow="0" w:firstColumn="1" w:lastColumn="0" w:noHBand="0" w:noVBand="1"/>
      </w:tblPr>
      <w:tblGrid>
        <w:gridCol w:w="1710"/>
        <w:gridCol w:w="3303"/>
        <w:gridCol w:w="3276"/>
      </w:tblGrid>
      <w:tr w:rsidR="008737B5" w:rsidRPr="00C87ABE" w14:paraId="6B8E81FC" w14:textId="77777777" w:rsidTr="007668BB">
        <w:trPr>
          <w:trHeight w:val="447"/>
        </w:trPr>
        <w:tc>
          <w:tcPr>
            <w:tcW w:w="828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57E79D68" w14:textId="77777777" w:rsidR="008737B5" w:rsidRPr="00C87ABE" w:rsidRDefault="008737B5" w:rsidP="005920DE">
            <w:pPr>
              <w:spacing w:line="240" w:lineRule="auto"/>
              <w:jc w:val="center"/>
              <w:rPr>
                <w:b/>
                <w:bCs/>
                <w:color w:val="000000"/>
                <w:sz w:val="24"/>
              </w:rPr>
            </w:pPr>
            <w:r w:rsidRPr="00C87ABE">
              <w:rPr>
                <w:b/>
                <w:bCs/>
                <w:color w:val="000000"/>
                <w:sz w:val="24"/>
              </w:rPr>
              <w:t>BNL</w:t>
            </w:r>
          </w:p>
        </w:tc>
      </w:tr>
      <w:tr w:rsidR="008737B5" w:rsidRPr="00C87ABE" w14:paraId="385C5486" w14:textId="77777777" w:rsidTr="007668BB">
        <w:trPr>
          <w:trHeight w:val="447"/>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551D8D44" w14:textId="77777777" w:rsidR="008737B5" w:rsidRPr="00C87ABE" w:rsidRDefault="008737B5" w:rsidP="005920DE">
            <w:pPr>
              <w:spacing w:line="240" w:lineRule="auto"/>
              <w:ind w:firstLine="0"/>
              <w:jc w:val="center"/>
              <w:rPr>
                <w:color w:val="000000"/>
                <w:sz w:val="24"/>
              </w:rPr>
            </w:pPr>
            <w:r w:rsidRPr="00C87ABE">
              <w:rPr>
                <w:color w:val="000000"/>
                <w:sz w:val="24"/>
              </w:rPr>
              <w:t>Dataset</w:t>
            </w:r>
          </w:p>
        </w:tc>
        <w:tc>
          <w:tcPr>
            <w:tcW w:w="3303" w:type="dxa"/>
            <w:tcBorders>
              <w:top w:val="nil"/>
              <w:left w:val="nil"/>
              <w:bottom w:val="single" w:sz="4" w:space="0" w:color="auto"/>
              <w:right w:val="single" w:sz="4" w:space="0" w:color="auto"/>
            </w:tcBorders>
            <w:shd w:val="clear" w:color="auto" w:fill="auto"/>
            <w:noWrap/>
            <w:vAlign w:val="center"/>
          </w:tcPr>
          <w:p w14:paraId="69C1591F" w14:textId="77777777" w:rsidR="008737B5" w:rsidRPr="00C87ABE" w:rsidRDefault="008737B5" w:rsidP="005920DE">
            <w:pPr>
              <w:spacing w:line="240" w:lineRule="auto"/>
              <w:ind w:firstLine="0"/>
              <w:jc w:val="center"/>
              <w:rPr>
                <w:color w:val="000000"/>
                <w:sz w:val="24"/>
              </w:rPr>
            </w:pPr>
            <w:r w:rsidRPr="00C87ABE">
              <w:rPr>
                <w:color w:val="000000"/>
                <w:sz w:val="24"/>
              </w:rPr>
              <w:t>Satellite Derived Cloudy Instances</w:t>
            </w:r>
          </w:p>
        </w:tc>
        <w:tc>
          <w:tcPr>
            <w:tcW w:w="3276" w:type="dxa"/>
            <w:tcBorders>
              <w:top w:val="nil"/>
              <w:left w:val="nil"/>
              <w:bottom w:val="single" w:sz="4" w:space="0" w:color="auto"/>
              <w:right w:val="single" w:sz="4" w:space="0" w:color="auto"/>
            </w:tcBorders>
            <w:shd w:val="clear" w:color="auto" w:fill="auto"/>
            <w:noWrap/>
            <w:vAlign w:val="center"/>
          </w:tcPr>
          <w:p w14:paraId="3984D7EC" w14:textId="77777777" w:rsidR="008737B5" w:rsidRPr="00C87ABE" w:rsidRDefault="008737B5" w:rsidP="005920DE">
            <w:pPr>
              <w:spacing w:line="240" w:lineRule="auto"/>
              <w:ind w:firstLine="0"/>
              <w:jc w:val="center"/>
              <w:rPr>
                <w:color w:val="000000"/>
                <w:sz w:val="24"/>
              </w:rPr>
            </w:pPr>
            <w:r w:rsidRPr="00C87ABE">
              <w:rPr>
                <w:color w:val="000000"/>
                <w:sz w:val="24"/>
              </w:rPr>
              <w:t>Satellite Derived Clear Instances</w:t>
            </w:r>
          </w:p>
        </w:tc>
      </w:tr>
      <w:tr w:rsidR="008737B5" w:rsidRPr="00C87ABE" w14:paraId="5922BD74" w14:textId="77777777" w:rsidTr="007668BB">
        <w:trPr>
          <w:trHeight w:val="447"/>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49235FB6" w14:textId="77777777" w:rsidR="008737B5" w:rsidRPr="00C87ABE" w:rsidRDefault="008737B5" w:rsidP="005920DE">
            <w:pPr>
              <w:spacing w:line="240" w:lineRule="auto"/>
              <w:ind w:firstLine="0"/>
              <w:jc w:val="center"/>
              <w:rPr>
                <w:color w:val="000000"/>
                <w:sz w:val="24"/>
              </w:rPr>
            </w:pPr>
            <w:r w:rsidRPr="00C87ABE">
              <w:rPr>
                <w:color w:val="000000"/>
                <w:sz w:val="24"/>
              </w:rPr>
              <w:t>Train</w:t>
            </w:r>
          </w:p>
        </w:tc>
        <w:tc>
          <w:tcPr>
            <w:tcW w:w="3303" w:type="dxa"/>
            <w:tcBorders>
              <w:top w:val="nil"/>
              <w:left w:val="nil"/>
              <w:bottom w:val="single" w:sz="4" w:space="0" w:color="auto"/>
              <w:right w:val="single" w:sz="4" w:space="0" w:color="auto"/>
            </w:tcBorders>
            <w:shd w:val="clear" w:color="auto" w:fill="auto"/>
            <w:noWrap/>
            <w:vAlign w:val="center"/>
          </w:tcPr>
          <w:p w14:paraId="6D1BAA72" w14:textId="77777777" w:rsidR="008737B5" w:rsidRPr="00C87ABE" w:rsidRDefault="008737B5" w:rsidP="005920DE">
            <w:pPr>
              <w:spacing w:line="240" w:lineRule="auto"/>
              <w:jc w:val="center"/>
              <w:rPr>
                <w:color w:val="000000"/>
                <w:sz w:val="24"/>
              </w:rPr>
            </w:pPr>
            <w:r w:rsidRPr="00C87ABE">
              <w:rPr>
                <w:color w:val="000000"/>
                <w:sz w:val="24"/>
              </w:rPr>
              <w:t>309</w:t>
            </w:r>
          </w:p>
        </w:tc>
        <w:tc>
          <w:tcPr>
            <w:tcW w:w="3276" w:type="dxa"/>
            <w:tcBorders>
              <w:top w:val="nil"/>
              <w:left w:val="nil"/>
              <w:bottom w:val="single" w:sz="4" w:space="0" w:color="auto"/>
              <w:right w:val="single" w:sz="4" w:space="0" w:color="auto"/>
            </w:tcBorders>
            <w:shd w:val="clear" w:color="auto" w:fill="auto"/>
            <w:noWrap/>
            <w:vAlign w:val="center"/>
          </w:tcPr>
          <w:p w14:paraId="5966D5BE" w14:textId="77777777" w:rsidR="008737B5" w:rsidRPr="00C87ABE" w:rsidRDefault="008737B5" w:rsidP="005920DE">
            <w:pPr>
              <w:spacing w:line="240" w:lineRule="auto"/>
              <w:jc w:val="center"/>
              <w:rPr>
                <w:color w:val="000000"/>
                <w:sz w:val="24"/>
              </w:rPr>
            </w:pPr>
            <w:r w:rsidRPr="00C87ABE">
              <w:rPr>
                <w:color w:val="000000"/>
                <w:sz w:val="24"/>
              </w:rPr>
              <w:t>387</w:t>
            </w:r>
          </w:p>
        </w:tc>
      </w:tr>
      <w:tr w:rsidR="008737B5" w:rsidRPr="00C87ABE" w14:paraId="4E92C05B" w14:textId="77777777" w:rsidTr="007668BB">
        <w:trPr>
          <w:trHeight w:val="447"/>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24CAE668" w14:textId="77777777" w:rsidR="008737B5" w:rsidRPr="00C87ABE" w:rsidRDefault="008737B5" w:rsidP="005920DE">
            <w:pPr>
              <w:spacing w:line="240" w:lineRule="auto"/>
              <w:ind w:firstLine="0"/>
              <w:jc w:val="center"/>
              <w:rPr>
                <w:color w:val="000000"/>
                <w:sz w:val="24"/>
              </w:rPr>
            </w:pPr>
            <w:r w:rsidRPr="00C87ABE">
              <w:rPr>
                <w:color w:val="000000"/>
                <w:sz w:val="24"/>
              </w:rPr>
              <w:t>Sensitivity Test</w:t>
            </w:r>
          </w:p>
        </w:tc>
        <w:tc>
          <w:tcPr>
            <w:tcW w:w="3303" w:type="dxa"/>
            <w:tcBorders>
              <w:top w:val="nil"/>
              <w:left w:val="nil"/>
              <w:bottom w:val="single" w:sz="4" w:space="0" w:color="auto"/>
              <w:right w:val="single" w:sz="4" w:space="0" w:color="auto"/>
            </w:tcBorders>
            <w:shd w:val="clear" w:color="auto" w:fill="auto"/>
            <w:noWrap/>
            <w:vAlign w:val="center"/>
          </w:tcPr>
          <w:p w14:paraId="16F5E067" w14:textId="77777777" w:rsidR="008737B5" w:rsidRPr="00C87ABE" w:rsidRDefault="008737B5" w:rsidP="005920DE">
            <w:pPr>
              <w:spacing w:line="240" w:lineRule="auto"/>
              <w:jc w:val="center"/>
              <w:rPr>
                <w:color w:val="000000"/>
                <w:sz w:val="24"/>
              </w:rPr>
            </w:pPr>
            <w:r w:rsidRPr="00C87ABE">
              <w:rPr>
                <w:color w:val="000000"/>
                <w:sz w:val="24"/>
              </w:rPr>
              <w:t>154</w:t>
            </w:r>
          </w:p>
        </w:tc>
        <w:tc>
          <w:tcPr>
            <w:tcW w:w="3276" w:type="dxa"/>
            <w:tcBorders>
              <w:top w:val="nil"/>
              <w:left w:val="nil"/>
              <w:bottom w:val="single" w:sz="4" w:space="0" w:color="auto"/>
              <w:right w:val="single" w:sz="4" w:space="0" w:color="auto"/>
            </w:tcBorders>
            <w:shd w:val="clear" w:color="auto" w:fill="auto"/>
            <w:noWrap/>
            <w:vAlign w:val="center"/>
          </w:tcPr>
          <w:p w14:paraId="71AE80DE" w14:textId="77777777" w:rsidR="008737B5" w:rsidRPr="00C87ABE" w:rsidRDefault="008737B5" w:rsidP="005920DE">
            <w:pPr>
              <w:spacing w:line="240" w:lineRule="auto"/>
              <w:jc w:val="center"/>
              <w:rPr>
                <w:color w:val="000000"/>
                <w:sz w:val="24"/>
              </w:rPr>
            </w:pPr>
            <w:r w:rsidRPr="00C87ABE">
              <w:rPr>
                <w:color w:val="000000"/>
                <w:sz w:val="24"/>
              </w:rPr>
              <w:t>187</w:t>
            </w:r>
          </w:p>
        </w:tc>
      </w:tr>
      <w:tr w:rsidR="008737B5" w:rsidRPr="00C87ABE" w14:paraId="413A507B" w14:textId="77777777" w:rsidTr="007668BB">
        <w:trPr>
          <w:trHeight w:val="447"/>
        </w:trPr>
        <w:tc>
          <w:tcPr>
            <w:tcW w:w="1710" w:type="dxa"/>
            <w:tcBorders>
              <w:top w:val="nil"/>
              <w:left w:val="single" w:sz="4" w:space="0" w:color="auto"/>
              <w:bottom w:val="single" w:sz="4" w:space="0" w:color="auto"/>
              <w:right w:val="single" w:sz="4" w:space="0" w:color="auto"/>
            </w:tcBorders>
            <w:shd w:val="clear" w:color="auto" w:fill="auto"/>
            <w:noWrap/>
            <w:vAlign w:val="center"/>
          </w:tcPr>
          <w:p w14:paraId="6EEA38B3" w14:textId="77777777" w:rsidR="008737B5" w:rsidRPr="00C87ABE" w:rsidRDefault="008737B5" w:rsidP="005920DE">
            <w:pPr>
              <w:spacing w:line="240" w:lineRule="auto"/>
              <w:ind w:firstLine="0"/>
              <w:jc w:val="center"/>
              <w:rPr>
                <w:color w:val="000000"/>
                <w:sz w:val="24"/>
              </w:rPr>
            </w:pPr>
            <w:r w:rsidRPr="00C87ABE">
              <w:rPr>
                <w:color w:val="000000"/>
                <w:sz w:val="24"/>
              </w:rPr>
              <w:t>Validation</w:t>
            </w:r>
          </w:p>
        </w:tc>
        <w:tc>
          <w:tcPr>
            <w:tcW w:w="3303" w:type="dxa"/>
            <w:tcBorders>
              <w:top w:val="nil"/>
              <w:left w:val="nil"/>
              <w:bottom w:val="single" w:sz="4" w:space="0" w:color="auto"/>
              <w:right w:val="single" w:sz="4" w:space="0" w:color="auto"/>
            </w:tcBorders>
            <w:shd w:val="clear" w:color="auto" w:fill="auto"/>
            <w:noWrap/>
            <w:vAlign w:val="center"/>
          </w:tcPr>
          <w:p w14:paraId="2A8E1C78" w14:textId="77777777" w:rsidR="008737B5" w:rsidRPr="00C87ABE" w:rsidRDefault="008737B5" w:rsidP="005920DE">
            <w:pPr>
              <w:spacing w:line="240" w:lineRule="auto"/>
              <w:jc w:val="center"/>
              <w:rPr>
                <w:color w:val="000000"/>
                <w:sz w:val="24"/>
              </w:rPr>
            </w:pPr>
            <w:r w:rsidRPr="00C87ABE">
              <w:rPr>
                <w:color w:val="000000"/>
                <w:sz w:val="24"/>
              </w:rPr>
              <w:t>290</w:t>
            </w:r>
          </w:p>
        </w:tc>
        <w:tc>
          <w:tcPr>
            <w:tcW w:w="3276" w:type="dxa"/>
            <w:tcBorders>
              <w:top w:val="nil"/>
              <w:left w:val="nil"/>
              <w:bottom w:val="single" w:sz="4" w:space="0" w:color="auto"/>
              <w:right w:val="single" w:sz="4" w:space="0" w:color="auto"/>
            </w:tcBorders>
            <w:shd w:val="clear" w:color="auto" w:fill="auto"/>
            <w:noWrap/>
            <w:vAlign w:val="center"/>
          </w:tcPr>
          <w:p w14:paraId="28E701BC" w14:textId="77777777" w:rsidR="008737B5" w:rsidRPr="00C87ABE" w:rsidRDefault="008737B5" w:rsidP="005920DE">
            <w:pPr>
              <w:spacing w:line="240" w:lineRule="auto"/>
              <w:jc w:val="center"/>
              <w:rPr>
                <w:color w:val="000000"/>
                <w:sz w:val="24"/>
              </w:rPr>
            </w:pPr>
            <w:r w:rsidRPr="00C87ABE">
              <w:rPr>
                <w:color w:val="000000"/>
                <w:sz w:val="24"/>
              </w:rPr>
              <w:t>223</w:t>
            </w:r>
          </w:p>
        </w:tc>
      </w:tr>
    </w:tbl>
    <w:p w14:paraId="15BB0E0A" w14:textId="77777777" w:rsidR="001F3A08" w:rsidRPr="00C87ABE" w:rsidRDefault="001F3A08" w:rsidP="008737B5">
      <w:pPr>
        <w:pStyle w:val="Caption"/>
        <w:keepNext/>
        <w:jc w:val="both"/>
        <w:rPr>
          <w:color w:val="auto"/>
          <w:sz w:val="24"/>
          <w:szCs w:val="24"/>
        </w:rPr>
      </w:pPr>
    </w:p>
    <w:p w14:paraId="652AA44A" w14:textId="77777777" w:rsidR="00A543D0" w:rsidRDefault="00A543D0">
      <w:pPr>
        <w:tabs>
          <w:tab w:val="clear" w:pos="720"/>
        </w:tabs>
        <w:suppressAutoHyphens w:val="0"/>
        <w:spacing w:line="240" w:lineRule="auto"/>
        <w:ind w:firstLine="0"/>
        <w:rPr>
          <w:rFonts w:eastAsia="MS Mincho"/>
          <w:bCs/>
          <w:sz w:val="24"/>
        </w:rPr>
      </w:pPr>
      <w:r>
        <w:rPr>
          <w:sz w:val="24"/>
        </w:rPr>
        <w:br w:type="page"/>
      </w:r>
    </w:p>
    <w:p w14:paraId="752E4796" w14:textId="3978AA50" w:rsidR="008737B5" w:rsidRDefault="00842251" w:rsidP="008737B5">
      <w:pPr>
        <w:pStyle w:val="Caption"/>
        <w:keepNext/>
        <w:jc w:val="both"/>
        <w:rPr>
          <w:color w:val="auto"/>
          <w:sz w:val="24"/>
          <w:szCs w:val="24"/>
        </w:rPr>
      </w:pPr>
      <w:r w:rsidRPr="00C87ABE">
        <w:rPr>
          <w:color w:val="auto"/>
          <w:sz w:val="24"/>
          <w:szCs w:val="24"/>
        </w:rPr>
        <w:lastRenderedPageBreak/>
        <w:t>Table 2</w:t>
      </w:r>
      <w:r w:rsidR="008737B5" w:rsidRPr="00C87ABE">
        <w:rPr>
          <w:color w:val="auto"/>
          <w:sz w:val="24"/>
          <w:szCs w:val="24"/>
        </w:rPr>
        <w:t xml:space="preserve">. List of predictors for the ANN model.  The </w:t>
      </w:r>
      <w:proofErr w:type="spellStart"/>
      <w:r w:rsidR="008737B5" w:rsidRPr="00C87ABE">
        <w:rPr>
          <w:color w:val="auto"/>
          <w:sz w:val="24"/>
          <w:szCs w:val="24"/>
        </w:rPr>
        <w:t>Kt</w:t>
      </w:r>
      <w:proofErr w:type="spellEnd"/>
      <w:r w:rsidR="008737B5" w:rsidRPr="00C87ABE">
        <w:rPr>
          <w:color w:val="auto"/>
          <w:sz w:val="24"/>
          <w:szCs w:val="24"/>
        </w:rPr>
        <w:t xml:space="preserve"> Nearby Mean and Variability are marked with an asterisk because they are only available for the SMUD sites.</w:t>
      </w:r>
      <w:bookmarkEnd w:id="23"/>
    </w:p>
    <w:tbl>
      <w:tblPr>
        <w:tblStyle w:val="TableGrid"/>
        <w:tblW w:w="0" w:type="auto"/>
        <w:tblLayout w:type="fixed"/>
        <w:tblLook w:val="04A0" w:firstRow="1" w:lastRow="0" w:firstColumn="1" w:lastColumn="0" w:noHBand="0" w:noVBand="1"/>
      </w:tblPr>
      <w:tblGrid>
        <w:gridCol w:w="1548"/>
        <w:gridCol w:w="1530"/>
        <w:gridCol w:w="1530"/>
        <w:gridCol w:w="1170"/>
        <w:gridCol w:w="1350"/>
        <w:gridCol w:w="1261"/>
      </w:tblGrid>
      <w:tr w:rsidR="00375988" w14:paraId="34A9AEFD" w14:textId="77777777" w:rsidTr="007668BB">
        <w:trPr>
          <w:trHeight w:val="1646"/>
        </w:trPr>
        <w:tc>
          <w:tcPr>
            <w:tcW w:w="1548" w:type="dxa"/>
            <w:vAlign w:val="center"/>
          </w:tcPr>
          <w:p w14:paraId="5D66CA12" w14:textId="28027DD3" w:rsidR="00375988" w:rsidRDefault="00375988" w:rsidP="00375988">
            <w:pPr>
              <w:spacing w:line="240" w:lineRule="auto"/>
              <w:ind w:firstLine="0"/>
              <w:jc w:val="center"/>
            </w:pPr>
            <w:r>
              <w:rPr>
                <w:rFonts w:ascii="Calibri" w:hAnsi="Calibri"/>
                <w:color w:val="000000"/>
                <w:sz w:val="24"/>
              </w:rPr>
              <w:t>Solar Zenith Angle</w:t>
            </w:r>
          </w:p>
        </w:tc>
        <w:tc>
          <w:tcPr>
            <w:tcW w:w="1530" w:type="dxa"/>
            <w:vAlign w:val="center"/>
          </w:tcPr>
          <w:p w14:paraId="4B62F8A5" w14:textId="02A1CC71" w:rsidR="00375988" w:rsidRDefault="00375988" w:rsidP="00375988">
            <w:pPr>
              <w:spacing w:line="240" w:lineRule="auto"/>
              <w:ind w:firstLine="0"/>
              <w:jc w:val="center"/>
            </w:pPr>
            <w:r>
              <w:rPr>
                <w:rFonts w:ascii="Calibri" w:hAnsi="Calibri"/>
                <w:color w:val="000000"/>
                <w:sz w:val="24"/>
              </w:rPr>
              <w:t>Satellite Measured Reflectance at 3.75um</w:t>
            </w:r>
          </w:p>
        </w:tc>
        <w:tc>
          <w:tcPr>
            <w:tcW w:w="1530" w:type="dxa"/>
            <w:vAlign w:val="center"/>
          </w:tcPr>
          <w:p w14:paraId="2EE99F32" w14:textId="142CB4CA" w:rsidR="00375988" w:rsidRDefault="00375988" w:rsidP="00375988">
            <w:pPr>
              <w:spacing w:line="240" w:lineRule="auto"/>
              <w:ind w:firstLine="0"/>
              <w:jc w:val="center"/>
            </w:pPr>
            <w:proofErr w:type="spellStart"/>
            <w:r>
              <w:rPr>
                <w:rFonts w:ascii="Calibri" w:hAnsi="Calibri"/>
                <w:color w:val="000000"/>
                <w:sz w:val="24"/>
              </w:rPr>
              <w:t>Dewpoint</w:t>
            </w:r>
            <w:proofErr w:type="spellEnd"/>
            <w:r>
              <w:rPr>
                <w:rFonts w:ascii="Calibri" w:hAnsi="Calibri"/>
                <w:color w:val="000000"/>
                <w:sz w:val="24"/>
              </w:rPr>
              <w:t xml:space="preserve"> at METAR Site 2</w:t>
            </w:r>
          </w:p>
        </w:tc>
        <w:tc>
          <w:tcPr>
            <w:tcW w:w="1170" w:type="dxa"/>
            <w:vAlign w:val="center"/>
          </w:tcPr>
          <w:p w14:paraId="538CFF0E" w14:textId="12206388" w:rsidR="00375988" w:rsidRDefault="00375988" w:rsidP="00375988">
            <w:pPr>
              <w:spacing w:line="240" w:lineRule="auto"/>
              <w:ind w:firstLine="0"/>
              <w:jc w:val="center"/>
            </w:pPr>
            <w:r>
              <w:rPr>
                <w:rFonts w:ascii="Calibri" w:hAnsi="Calibri"/>
                <w:color w:val="000000"/>
                <w:sz w:val="24"/>
              </w:rPr>
              <w:t>Categorical Precipitation at Site 3</w:t>
            </w:r>
          </w:p>
        </w:tc>
        <w:tc>
          <w:tcPr>
            <w:tcW w:w="1350" w:type="dxa"/>
            <w:vAlign w:val="center"/>
          </w:tcPr>
          <w:p w14:paraId="63219746" w14:textId="7F972115"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Previous 60-Min</w:t>
            </w:r>
          </w:p>
        </w:tc>
        <w:tc>
          <w:tcPr>
            <w:tcW w:w="1261" w:type="dxa"/>
            <w:vAlign w:val="center"/>
          </w:tcPr>
          <w:p w14:paraId="1AB53472" w14:textId="63DD2A2C"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Temporal Variability (</w:t>
            </w:r>
            <w:proofErr w:type="spellStart"/>
            <w:r>
              <w:rPr>
                <w:rFonts w:ascii="Calibri" w:hAnsi="Calibri"/>
                <w:color w:val="000000"/>
                <w:sz w:val="24"/>
              </w:rPr>
              <w:t>Stdev</w:t>
            </w:r>
            <w:proofErr w:type="spellEnd"/>
            <w:r>
              <w:rPr>
                <w:rFonts w:ascii="Calibri" w:hAnsi="Calibri"/>
                <w:color w:val="000000"/>
                <w:sz w:val="24"/>
              </w:rPr>
              <w:t>)</w:t>
            </w:r>
          </w:p>
        </w:tc>
      </w:tr>
      <w:tr w:rsidR="00375988" w14:paraId="2C20336B" w14:textId="77777777" w:rsidTr="007668BB">
        <w:trPr>
          <w:trHeight w:val="986"/>
        </w:trPr>
        <w:tc>
          <w:tcPr>
            <w:tcW w:w="1548" w:type="dxa"/>
            <w:vAlign w:val="center"/>
          </w:tcPr>
          <w:p w14:paraId="6CAAF4E0" w14:textId="36A7CA74" w:rsidR="00375988" w:rsidRDefault="00375988" w:rsidP="00375988">
            <w:pPr>
              <w:spacing w:line="240" w:lineRule="auto"/>
              <w:ind w:firstLine="0"/>
              <w:jc w:val="center"/>
            </w:pPr>
            <w:r>
              <w:rPr>
                <w:rFonts w:ascii="Calibri" w:hAnsi="Calibri"/>
                <w:color w:val="000000"/>
                <w:sz w:val="24"/>
              </w:rPr>
              <w:t>Satellite Derived Cloud Type</w:t>
            </w:r>
          </w:p>
        </w:tc>
        <w:tc>
          <w:tcPr>
            <w:tcW w:w="1530" w:type="dxa"/>
            <w:vAlign w:val="center"/>
          </w:tcPr>
          <w:p w14:paraId="758134D3" w14:textId="72632AEF" w:rsidR="00375988" w:rsidRDefault="00375988" w:rsidP="00375988">
            <w:pPr>
              <w:spacing w:line="240" w:lineRule="auto"/>
              <w:ind w:firstLine="0"/>
              <w:jc w:val="center"/>
            </w:pPr>
            <w:r>
              <w:rPr>
                <w:rFonts w:ascii="Calibri" w:hAnsi="Calibri"/>
                <w:color w:val="000000"/>
                <w:sz w:val="24"/>
              </w:rPr>
              <w:t xml:space="preserve">Satellite Measured Temperature at </w:t>
            </w:r>
            <w:r w:rsidR="000A36E4">
              <w:rPr>
                <w:rFonts w:ascii="Calibri" w:hAnsi="Calibri"/>
                <w:color w:val="000000"/>
                <w:sz w:val="24"/>
              </w:rPr>
              <w:t>11.0um</w:t>
            </w:r>
          </w:p>
        </w:tc>
        <w:tc>
          <w:tcPr>
            <w:tcW w:w="1530" w:type="dxa"/>
            <w:vAlign w:val="center"/>
          </w:tcPr>
          <w:p w14:paraId="78D481CD" w14:textId="6FC16F85" w:rsidR="00375988" w:rsidRDefault="00375988" w:rsidP="00375988">
            <w:pPr>
              <w:spacing w:line="240" w:lineRule="auto"/>
              <w:ind w:firstLine="0"/>
              <w:jc w:val="center"/>
            </w:pPr>
            <w:proofErr w:type="spellStart"/>
            <w:r>
              <w:rPr>
                <w:rFonts w:ascii="Calibri" w:hAnsi="Calibri"/>
                <w:color w:val="000000"/>
                <w:sz w:val="24"/>
              </w:rPr>
              <w:t>Dewpoint</w:t>
            </w:r>
            <w:proofErr w:type="spellEnd"/>
            <w:r>
              <w:rPr>
                <w:rFonts w:ascii="Calibri" w:hAnsi="Calibri"/>
                <w:color w:val="000000"/>
                <w:sz w:val="24"/>
              </w:rPr>
              <w:t xml:space="preserve"> at METAR Site 3</w:t>
            </w:r>
          </w:p>
        </w:tc>
        <w:tc>
          <w:tcPr>
            <w:tcW w:w="1170" w:type="dxa"/>
            <w:vAlign w:val="center"/>
          </w:tcPr>
          <w:p w14:paraId="0B849F1F" w14:textId="6AE033F4" w:rsidR="00375988" w:rsidRDefault="00375988" w:rsidP="00375988">
            <w:pPr>
              <w:spacing w:line="240" w:lineRule="auto"/>
              <w:ind w:firstLine="0"/>
              <w:jc w:val="center"/>
            </w:pPr>
            <w:r>
              <w:rPr>
                <w:rFonts w:ascii="Calibri" w:hAnsi="Calibri"/>
                <w:color w:val="000000"/>
                <w:sz w:val="24"/>
              </w:rPr>
              <w:t>QPF at METAR Site 1</w:t>
            </w:r>
          </w:p>
        </w:tc>
        <w:tc>
          <w:tcPr>
            <w:tcW w:w="1350" w:type="dxa"/>
            <w:vAlign w:val="center"/>
          </w:tcPr>
          <w:p w14:paraId="79D90F4C" w14:textId="3636148C"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Previous 45-Min</w:t>
            </w:r>
          </w:p>
        </w:tc>
        <w:tc>
          <w:tcPr>
            <w:tcW w:w="1261" w:type="dxa"/>
            <w:vAlign w:val="center"/>
          </w:tcPr>
          <w:p w14:paraId="172CC8CE" w14:textId="53BF10E8" w:rsidR="00375988" w:rsidRDefault="00375988" w:rsidP="00375988">
            <w:pPr>
              <w:spacing w:line="240" w:lineRule="auto"/>
              <w:ind w:firstLine="0"/>
              <w:jc w:val="center"/>
            </w:pPr>
            <w:r>
              <w:rPr>
                <w:rFonts w:ascii="Calibri" w:hAnsi="Calibri"/>
                <w:color w:val="000000"/>
                <w:sz w:val="24"/>
              </w:rPr>
              <w:t xml:space="preserve">Most recent </w:t>
            </w:r>
            <w:proofErr w:type="spellStart"/>
            <w:r>
              <w:rPr>
                <w:rFonts w:ascii="Calibri" w:hAnsi="Calibri"/>
                <w:color w:val="000000"/>
                <w:sz w:val="24"/>
              </w:rPr>
              <w:t>Kt</w:t>
            </w:r>
            <w:proofErr w:type="spellEnd"/>
            <w:r>
              <w:rPr>
                <w:rFonts w:ascii="Calibri" w:hAnsi="Calibri"/>
                <w:color w:val="000000"/>
                <w:sz w:val="24"/>
              </w:rPr>
              <w:t xml:space="preserve"> Change (</w:t>
            </w:r>
            <w:proofErr w:type="spellStart"/>
            <w:r>
              <w:rPr>
                <w:rFonts w:ascii="Calibri" w:hAnsi="Calibri"/>
                <w:color w:val="000000"/>
                <w:sz w:val="24"/>
              </w:rPr>
              <w:t>Kt</w:t>
            </w:r>
            <w:proofErr w:type="spellEnd"/>
            <w:r>
              <w:rPr>
                <w:rFonts w:ascii="Calibri" w:hAnsi="Calibri"/>
                <w:color w:val="000000"/>
                <w:sz w:val="24"/>
              </w:rPr>
              <w:t xml:space="preserve"> Prev15 - </w:t>
            </w:r>
            <w:proofErr w:type="spellStart"/>
            <w:r>
              <w:rPr>
                <w:rFonts w:ascii="Calibri" w:hAnsi="Calibri"/>
                <w:color w:val="000000"/>
                <w:sz w:val="24"/>
              </w:rPr>
              <w:t>Kt</w:t>
            </w:r>
            <w:proofErr w:type="spellEnd"/>
            <w:r>
              <w:rPr>
                <w:rFonts w:ascii="Calibri" w:hAnsi="Calibri"/>
                <w:color w:val="000000"/>
                <w:sz w:val="24"/>
              </w:rPr>
              <w:t xml:space="preserve"> Prev30)</w:t>
            </w:r>
          </w:p>
        </w:tc>
      </w:tr>
      <w:tr w:rsidR="00375988" w14:paraId="6AAABD3A" w14:textId="77777777" w:rsidTr="007668BB">
        <w:trPr>
          <w:trHeight w:val="657"/>
        </w:trPr>
        <w:tc>
          <w:tcPr>
            <w:tcW w:w="1548" w:type="dxa"/>
            <w:vAlign w:val="center"/>
          </w:tcPr>
          <w:p w14:paraId="6A616CA1" w14:textId="63F86A26" w:rsidR="00375988" w:rsidRDefault="00375988" w:rsidP="00375988">
            <w:pPr>
              <w:spacing w:line="240" w:lineRule="auto"/>
              <w:ind w:firstLine="0"/>
              <w:jc w:val="center"/>
            </w:pPr>
            <w:r>
              <w:rPr>
                <w:rFonts w:ascii="Calibri" w:hAnsi="Calibri"/>
                <w:color w:val="000000"/>
                <w:sz w:val="24"/>
              </w:rPr>
              <w:t>Satellite Derived Cloud Fraction</w:t>
            </w:r>
          </w:p>
        </w:tc>
        <w:tc>
          <w:tcPr>
            <w:tcW w:w="1530" w:type="dxa"/>
            <w:vAlign w:val="center"/>
          </w:tcPr>
          <w:p w14:paraId="369157BF" w14:textId="4C0D13CA" w:rsidR="00375988" w:rsidRDefault="00375988" w:rsidP="00375988">
            <w:pPr>
              <w:spacing w:line="240" w:lineRule="auto"/>
              <w:ind w:firstLine="0"/>
              <w:jc w:val="center"/>
            </w:pPr>
            <w:r>
              <w:rPr>
                <w:rFonts w:ascii="Calibri" w:hAnsi="Calibri"/>
                <w:color w:val="000000"/>
                <w:sz w:val="24"/>
              </w:rPr>
              <w:t>Satellite Measured Temperature at 3.75um</w:t>
            </w:r>
          </w:p>
        </w:tc>
        <w:tc>
          <w:tcPr>
            <w:tcW w:w="1530" w:type="dxa"/>
            <w:vAlign w:val="center"/>
          </w:tcPr>
          <w:p w14:paraId="00E00C83" w14:textId="2CBCFA03" w:rsidR="00375988" w:rsidRDefault="00375988" w:rsidP="00375988">
            <w:pPr>
              <w:spacing w:line="240" w:lineRule="auto"/>
              <w:ind w:firstLine="0"/>
              <w:jc w:val="center"/>
            </w:pPr>
            <w:r>
              <w:rPr>
                <w:rFonts w:ascii="Calibri" w:hAnsi="Calibri"/>
                <w:color w:val="000000"/>
                <w:sz w:val="24"/>
              </w:rPr>
              <w:t>Cloud Cover at METAR Site 1</w:t>
            </w:r>
          </w:p>
        </w:tc>
        <w:tc>
          <w:tcPr>
            <w:tcW w:w="1170" w:type="dxa"/>
            <w:vAlign w:val="center"/>
          </w:tcPr>
          <w:p w14:paraId="2E4CB410" w14:textId="68CFFF75" w:rsidR="00375988" w:rsidRDefault="00375988" w:rsidP="00375988">
            <w:pPr>
              <w:spacing w:line="240" w:lineRule="auto"/>
              <w:ind w:firstLine="0"/>
              <w:jc w:val="center"/>
            </w:pPr>
            <w:r>
              <w:rPr>
                <w:rFonts w:ascii="Calibri" w:hAnsi="Calibri"/>
                <w:color w:val="000000"/>
                <w:sz w:val="24"/>
              </w:rPr>
              <w:t>QPF at METAR Site 2</w:t>
            </w:r>
          </w:p>
        </w:tc>
        <w:tc>
          <w:tcPr>
            <w:tcW w:w="1350" w:type="dxa"/>
            <w:vAlign w:val="center"/>
          </w:tcPr>
          <w:p w14:paraId="4FA4A5AD" w14:textId="0E881874"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Previous 30-Min</w:t>
            </w:r>
          </w:p>
        </w:tc>
        <w:tc>
          <w:tcPr>
            <w:tcW w:w="1261" w:type="dxa"/>
            <w:vAlign w:val="center"/>
          </w:tcPr>
          <w:p w14:paraId="7A74B759" w14:textId="161ED1AA"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Nearby Mean*</w:t>
            </w:r>
          </w:p>
        </w:tc>
      </w:tr>
      <w:tr w:rsidR="00375988" w14:paraId="1588B2E7" w14:textId="77777777" w:rsidTr="007668BB">
        <w:trPr>
          <w:trHeight w:val="340"/>
        </w:trPr>
        <w:tc>
          <w:tcPr>
            <w:tcW w:w="1548" w:type="dxa"/>
            <w:vAlign w:val="center"/>
          </w:tcPr>
          <w:p w14:paraId="332A497D" w14:textId="375E3116" w:rsidR="00375988" w:rsidRDefault="00375988" w:rsidP="00375988">
            <w:pPr>
              <w:spacing w:line="240" w:lineRule="auto"/>
              <w:ind w:firstLine="0"/>
              <w:jc w:val="center"/>
            </w:pPr>
            <w:r>
              <w:rPr>
                <w:rFonts w:ascii="Calibri" w:hAnsi="Calibri"/>
                <w:color w:val="000000"/>
                <w:sz w:val="24"/>
              </w:rPr>
              <w:t>Satellite Derived Cloud Top Temperature</w:t>
            </w:r>
          </w:p>
        </w:tc>
        <w:tc>
          <w:tcPr>
            <w:tcW w:w="1530" w:type="dxa"/>
            <w:vAlign w:val="center"/>
          </w:tcPr>
          <w:p w14:paraId="78521E11" w14:textId="338DFA07" w:rsidR="00375988" w:rsidRDefault="00375988" w:rsidP="00375988">
            <w:pPr>
              <w:spacing w:line="240" w:lineRule="auto"/>
              <w:ind w:firstLine="0"/>
              <w:jc w:val="center"/>
            </w:pPr>
            <w:r>
              <w:rPr>
                <w:rFonts w:ascii="Calibri" w:hAnsi="Calibri"/>
                <w:color w:val="000000"/>
                <w:sz w:val="24"/>
              </w:rPr>
              <w:t>Temperature at METAR Site 1</w:t>
            </w:r>
          </w:p>
        </w:tc>
        <w:tc>
          <w:tcPr>
            <w:tcW w:w="1530" w:type="dxa"/>
            <w:vAlign w:val="center"/>
          </w:tcPr>
          <w:p w14:paraId="01587455" w14:textId="68BD9AA2" w:rsidR="00375988" w:rsidRDefault="00375988" w:rsidP="00375988">
            <w:pPr>
              <w:spacing w:line="240" w:lineRule="auto"/>
              <w:ind w:firstLine="0"/>
              <w:jc w:val="center"/>
            </w:pPr>
            <w:r>
              <w:rPr>
                <w:rFonts w:ascii="Calibri" w:hAnsi="Calibri"/>
                <w:color w:val="000000"/>
                <w:sz w:val="24"/>
              </w:rPr>
              <w:t>Cloud Cover at METAR Site 2</w:t>
            </w:r>
          </w:p>
        </w:tc>
        <w:tc>
          <w:tcPr>
            <w:tcW w:w="1170" w:type="dxa"/>
            <w:vAlign w:val="center"/>
          </w:tcPr>
          <w:p w14:paraId="397381A0" w14:textId="4CE22C9E" w:rsidR="00375988" w:rsidRDefault="00375988" w:rsidP="00375988">
            <w:pPr>
              <w:spacing w:line="240" w:lineRule="auto"/>
              <w:ind w:firstLine="0"/>
              <w:jc w:val="center"/>
            </w:pPr>
            <w:r>
              <w:rPr>
                <w:rFonts w:ascii="Calibri" w:hAnsi="Calibri"/>
                <w:color w:val="000000"/>
                <w:sz w:val="24"/>
              </w:rPr>
              <w:t>QPF at METAR Site 3</w:t>
            </w:r>
          </w:p>
        </w:tc>
        <w:tc>
          <w:tcPr>
            <w:tcW w:w="1350" w:type="dxa"/>
            <w:vAlign w:val="center"/>
          </w:tcPr>
          <w:p w14:paraId="1F409911" w14:textId="1BD6753A"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Previous 15-Min</w:t>
            </w:r>
          </w:p>
        </w:tc>
        <w:tc>
          <w:tcPr>
            <w:tcW w:w="1261" w:type="dxa"/>
            <w:vAlign w:val="center"/>
          </w:tcPr>
          <w:p w14:paraId="0C3CDA20" w14:textId="0D5C0505"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Nearby Variability (</w:t>
            </w:r>
            <w:proofErr w:type="spellStart"/>
            <w:r>
              <w:rPr>
                <w:rFonts w:ascii="Calibri" w:hAnsi="Calibri"/>
                <w:color w:val="000000"/>
                <w:sz w:val="24"/>
              </w:rPr>
              <w:t>Stdev</w:t>
            </w:r>
            <w:proofErr w:type="spellEnd"/>
            <w:r>
              <w:rPr>
                <w:rFonts w:ascii="Calibri" w:hAnsi="Calibri"/>
                <w:color w:val="000000"/>
                <w:sz w:val="24"/>
              </w:rPr>
              <w:t>)*</w:t>
            </w:r>
          </w:p>
        </w:tc>
      </w:tr>
      <w:tr w:rsidR="00375988" w14:paraId="0D4BB083" w14:textId="77777777" w:rsidTr="007668BB">
        <w:trPr>
          <w:trHeight w:val="657"/>
        </w:trPr>
        <w:tc>
          <w:tcPr>
            <w:tcW w:w="1548" w:type="dxa"/>
            <w:vAlign w:val="center"/>
          </w:tcPr>
          <w:p w14:paraId="38440104" w14:textId="1E394737" w:rsidR="00375988" w:rsidRDefault="00375988" w:rsidP="00375988">
            <w:pPr>
              <w:spacing w:line="240" w:lineRule="auto"/>
              <w:ind w:firstLine="0"/>
              <w:jc w:val="center"/>
            </w:pPr>
            <w:r>
              <w:rPr>
                <w:rFonts w:ascii="Calibri" w:hAnsi="Calibri"/>
                <w:color w:val="000000"/>
                <w:sz w:val="24"/>
              </w:rPr>
              <w:t>Satellite Derived Cloud Optical Depth</w:t>
            </w:r>
          </w:p>
        </w:tc>
        <w:tc>
          <w:tcPr>
            <w:tcW w:w="1530" w:type="dxa"/>
            <w:vAlign w:val="center"/>
          </w:tcPr>
          <w:p w14:paraId="23E7B9AA" w14:textId="166DDDE1" w:rsidR="00375988" w:rsidRDefault="00375988" w:rsidP="00375988">
            <w:pPr>
              <w:spacing w:line="240" w:lineRule="auto"/>
              <w:ind w:firstLine="0"/>
              <w:jc w:val="center"/>
            </w:pPr>
            <w:r>
              <w:rPr>
                <w:rFonts w:ascii="Calibri" w:hAnsi="Calibri"/>
                <w:color w:val="000000"/>
                <w:sz w:val="24"/>
              </w:rPr>
              <w:t>Temperature at METAR Site 2</w:t>
            </w:r>
          </w:p>
        </w:tc>
        <w:tc>
          <w:tcPr>
            <w:tcW w:w="1530" w:type="dxa"/>
            <w:vAlign w:val="center"/>
          </w:tcPr>
          <w:p w14:paraId="0BCA85FA" w14:textId="0FE5AC80" w:rsidR="00375988" w:rsidRDefault="00375988" w:rsidP="00375988">
            <w:pPr>
              <w:spacing w:line="240" w:lineRule="auto"/>
              <w:ind w:firstLine="0"/>
              <w:jc w:val="center"/>
            </w:pPr>
            <w:r>
              <w:rPr>
                <w:rFonts w:ascii="Calibri" w:hAnsi="Calibri"/>
                <w:color w:val="000000"/>
                <w:sz w:val="24"/>
              </w:rPr>
              <w:t>Cloud Cover at METAR Site 3</w:t>
            </w:r>
          </w:p>
        </w:tc>
        <w:tc>
          <w:tcPr>
            <w:tcW w:w="1170" w:type="dxa"/>
            <w:vAlign w:val="center"/>
          </w:tcPr>
          <w:p w14:paraId="73828BC7" w14:textId="791760F8" w:rsidR="00375988" w:rsidRDefault="00375988" w:rsidP="00375988">
            <w:pPr>
              <w:spacing w:line="240" w:lineRule="auto"/>
              <w:ind w:firstLine="0"/>
              <w:jc w:val="center"/>
            </w:pPr>
            <w:r>
              <w:rPr>
                <w:rFonts w:ascii="Calibri" w:hAnsi="Calibri"/>
                <w:color w:val="000000"/>
                <w:sz w:val="24"/>
              </w:rPr>
              <w:t>Wind Speed at METAR Site 1</w:t>
            </w:r>
          </w:p>
        </w:tc>
        <w:tc>
          <w:tcPr>
            <w:tcW w:w="1350" w:type="dxa"/>
            <w:vAlign w:val="center"/>
          </w:tcPr>
          <w:p w14:paraId="723947D4" w14:textId="10F00C53" w:rsidR="00375988" w:rsidRDefault="00375988" w:rsidP="00375988">
            <w:pPr>
              <w:spacing w:line="240" w:lineRule="auto"/>
              <w:ind w:firstLine="0"/>
              <w:jc w:val="center"/>
            </w:pPr>
            <w:r>
              <w:rPr>
                <w:rFonts w:ascii="Calibri" w:hAnsi="Calibri"/>
                <w:color w:val="000000"/>
                <w:sz w:val="24"/>
              </w:rPr>
              <w:t>Sine of the Julian Day</w:t>
            </w:r>
          </w:p>
        </w:tc>
        <w:tc>
          <w:tcPr>
            <w:tcW w:w="1261" w:type="dxa"/>
            <w:vAlign w:val="center"/>
          </w:tcPr>
          <w:p w14:paraId="1A8577A5" w14:textId="641573F0" w:rsidR="00375988" w:rsidRDefault="00375988" w:rsidP="00375988">
            <w:pPr>
              <w:spacing w:line="240" w:lineRule="auto"/>
              <w:ind w:firstLine="0"/>
              <w:jc w:val="center"/>
            </w:pPr>
            <w:r>
              <w:rPr>
                <w:rFonts w:ascii="Calibri" w:hAnsi="Calibri"/>
                <w:color w:val="000000"/>
                <w:sz w:val="24"/>
              </w:rPr>
              <w:t>Cloud Cover Variability (</w:t>
            </w:r>
            <w:proofErr w:type="spellStart"/>
            <w:r>
              <w:rPr>
                <w:rFonts w:ascii="Calibri" w:hAnsi="Calibri"/>
                <w:color w:val="000000"/>
                <w:sz w:val="24"/>
              </w:rPr>
              <w:t>Stdev</w:t>
            </w:r>
            <w:proofErr w:type="spellEnd"/>
            <w:r>
              <w:rPr>
                <w:rFonts w:ascii="Calibri" w:hAnsi="Calibri"/>
                <w:color w:val="000000"/>
                <w:sz w:val="24"/>
              </w:rPr>
              <w:t>)</w:t>
            </w:r>
          </w:p>
        </w:tc>
      </w:tr>
      <w:tr w:rsidR="00375988" w14:paraId="3B8177D9" w14:textId="77777777" w:rsidTr="007668BB">
        <w:trPr>
          <w:trHeight w:val="657"/>
        </w:trPr>
        <w:tc>
          <w:tcPr>
            <w:tcW w:w="1548" w:type="dxa"/>
            <w:vAlign w:val="center"/>
          </w:tcPr>
          <w:p w14:paraId="2BBF5494" w14:textId="260DA956" w:rsidR="00375988" w:rsidRDefault="00375988" w:rsidP="00375988">
            <w:pPr>
              <w:spacing w:line="240" w:lineRule="auto"/>
              <w:ind w:firstLine="0"/>
              <w:jc w:val="center"/>
            </w:pPr>
            <w:r>
              <w:rPr>
                <w:rFonts w:ascii="Calibri" w:hAnsi="Calibri"/>
                <w:color w:val="000000"/>
                <w:sz w:val="24"/>
              </w:rPr>
              <w:t>Satellite Derived Hydrometeor Radius</w:t>
            </w:r>
          </w:p>
        </w:tc>
        <w:tc>
          <w:tcPr>
            <w:tcW w:w="1530" w:type="dxa"/>
            <w:vAlign w:val="center"/>
          </w:tcPr>
          <w:p w14:paraId="661C7413" w14:textId="75261856" w:rsidR="00375988" w:rsidRDefault="00375988" w:rsidP="00375988">
            <w:pPr>
              <w:spacing w:line="240" w:lineRule="auto"/>
              <w:ind w:firstLine="0"/>
              <w:jc w:val="center"/>
            </w:pPr>
            <w:r>
              <w:rPr>
                <w:rFonts w:ascii="Calibri" w:hAnsi="Calibri"/>
                <w:color w:val="000000"/>
                <w:sz w:val="24"/>
              </w:rPr>
              <w:t>Temperature at METAR Site 3</w:t>
            </w:r>
          </w:p>
        </w:tc>
        <w:tc>
          <w:tcPr>
            <w:tcW w:w="1530" w:type="dxa"/>
            <w:vAlign w:val="center"/>
          </w:tcPr>
          <w:p w14:paraId="6C9DF396" w14:textId="5180A21D" w:rsidR="00375988" w:rsidRDefault="00375988" w:rsidP="00375988">
            <w:pPr>
              <w:spacing w:line="240" w:lineRule="auto"/>
              <w:ind w:firstLine="0"/>
              <w:jc w:val="center"/>
            </w:pPr>
            <w:r>
              <w:rPr>
                <w:rFonts w:ascii="Calibri" w:hAnsi="Calibri"/>
                <w:color w:val="000000"/>
                <w:sz w:val="24"/>
              </w:rPr>
              <w:t>Categorical Precipitation at METAR Site 1</w:t>
            </w:r>
          </w:p>
        </w:tc>
        <w:tc>
          <w:tcPr>
            <w:tcW w:w="1170" w:type="dxa"/>
            <w:vAlign w:val="center"/>
          </w:tcPr>
          <w:p w14:paraId="0296B6E9" w14:textId="4ED80A93" w:rsidR="00375988" w:rsidRDefault="00375988" w:rsidP="00375988">
            <w:pPr>
              <w:spacing w:line="240" w:lineRule="auto"/>
              <w:ind w:firstLine="0"/>
              <w:jc w:val="center"/>
            </w:pPr>
            <w:r>
              <w:rPr>
                <w:rFonts w:ascii="Calibri" w:hAnsi="Calibri"/>
                <w:color w:val="000000"/>
                <w:sz w:val="24"/>
              </w:rPr>
              <w:t>Wind Speed at METAR Site 2</w:t>
            </w:r>
          </w:p>
        </w:tc>
        <w:tc>
          <w:tcPr>
            <w:tcW w:w="1350" w:type="dxa"/>
            <w:vAlign w:val="center"/>
          </w:tcPr>
          <w:p w14:paraId="6AF3AE08" w14:textId="511A93A6" w:rsidR="00375988" w:rsidRDefault="00375988" w:rsidP="00375988">
            <w:pPr>
              <w:spacing w:line="240" w:lineRule="auto"/>
              <w:ind w:firstLine="0"/>
              <w:jc w:val="center"/>
            </w:pPr>
            <w:r>
              <w:rPr>
                <w:rFonts w:ascii="Calibri" w:hAnsi="Calibri"/>
                <w:color w:val="000000"/>
                <w:sz w:val="24"/>
              </w:rPr>
              <w:t>Cosine of the Julian Day</w:t>
            </w:r>
          </w:p>
        </w:tc>
        <w:tc>
          <w:tcPr>
            <w:tcW w:w="1261" w:type="dxa"/>
            <w:vAlign w:val="center"/>
          </w:tcPr>
          <w:p w14:paraId="21685B40" w14:textId="039F36E0" w:rsidR="00375988" w:rsidRDefault="00375988" w:rsidP="00375988">
            <w:pPr>
              <w:spacing w:line="240" w:lineRule="auto"/>
              <w:ind w:firstLine="0"/>
              <w:jc w:val="center"/>
            </w:pPr>
            <w:r>
              <w:rPr>
                <w:rFonts w:ascii="Calibri" w:hAnsi="Calibri"/>
                <w:color w:val="000000"/>
                <w:sz w:val="24"/>
              </w:rPr>
              <w:t>Cloud Cover Squared</w:t>
            </w:r>
          </w:p>
        </w:tc>
      </w:tr>
      <w:tr w:rsidR="00375988" w14:paraId="327B521F" w14:textId="77777777" w:rsidTr="007668BB">
        <w:trPr>
          <w:trHeight w:val="827"/>
        </w:trPr>
        <w:tc>
          <w:tcPr>
            <w:tcW w:w="1548" w:type="dxa"/>
            <w:vAlign w:val="center"/>
          </w:tcPr>
          <w:p w14:paraId="70DF9240" w14:textId="58F4C4BF" w:rsidR="00375988" w:rsidRDefault="00375988" w:rsidP="00375988">
            <w:pPr>
              <w:spacing w:line="240" w:lineRule="auto"/>
              <w:ind w:firstLine="0"/>
              <w:jc w:val="center"/>
            </w:pPr>
            <w:r>
              <w:rPr>
                <w:rFonts w:ascii="Calibri" w:hAnsi="Calibri"/>
                <w:color w:val="000000"/>
                <w:sz w:val="24"/>
              </w:rPr>
              <w:t xml:space="preserve">Satellite Measured Reflectance at </w:t>
            </w:r>
            <w:r w:rsidR="000A36E4">
              <w:rPr>
                <w:rFonts w:ascii="Calibri" w:hAnsi="Calibri"/>
                <w:color w:val="000000"/>
                <w:sz w:val="24"/>
              </w:rPr>
              <w:t>650nm</w:t>
            </w:r>
          </w:p>
        </w:tc>
        <w:tc>
          <w:tcPr>
            <w:tcW w:w="1530" w:type="dxa"/>
            <w:vAlign w:val="center"/>
          </w:tcPr>
          <w:p w14:paraId="4BFA99F6" w14:textId="089CD838" w:rsidR="00375988" w:rsidRDefault="00375988" w:rsidP="00375988">
            <w:pPr>
              <w:spacing w:line="240" w:lineRule="auto"/>
              <w:ind w:firstLine="0"/>
              <w:jc w:val="center"/>
            </w:pPr>
            <w:proofErr w:type="spellStart"/>
            <w:r>
              <w:rPr>
                <w:rFonts w:ascii="Calibri" w:hAnsi="Calibri"/>
                <w:color w:val="000000"/>
                <w:sz w:val="24"/>
              </w:rPr>
              <w:t>Dewpoint</w:t>
            </w:r>
            <w:proofErr w:type="spellEnd"/>
            <w:r>
              <w:rPr>
                <w:rFonts w:ascii="Calibri" w:hAnsi="Calibri"/>
                <w:color w:val="000000"/>
                <w:sz w:val="24"/>
              </w:rPr>
              <w:t xml:space="preserve"> at METAR Site 1</w:t>
            </w:r>
          </w:p>
        </w:tc>
        <w:tc>
          <w:tcPr>
            <w:tcW w:w="1530" w:type="dxa"/>
            <w:vAlign w:val="center"/>
          </w:tcPr>
          <w:p w14:paraId="67F13DD1" w14:textId="041FA421" w:rsidR="00375988" w:rsidRDefault="00375988" w:rsidP="00375988">
            <w:pPr>
              <w:spacing w:line="240" w:lineRule="auto"/>
              <w:ind w:firstLine="0"/>
              <w:jc w:val="center"/>
            </w:pPr>
            <w:r>
              <w:rPr>
                <w:rFonts w:ascii="Calibri" w:hAnsi="Calibri"/>
                <w:color w:val="000000"/>
                <w:sz w:val="24"/>
              </w:rPr>
              <w:t>Categorical Precipitation at METAR Site 2</w:t>
            </w:r>
          </w:p>
        </w:tc>
        <w:tc>
          <w:tcPr>
            <w:tcW w:w="1170" w:type="dxa"/>
            <w:vAlign w:val="center"/>
          </w:tcPr>
          <w:p w14:paraId="2CDD77C2" w14:textId="4CE839EA" w:rsidR="00375988" w:rsidRDefault="00375988" w:rsidP="00375988">
            <w:pPr>
              <w:spacing w:line="240" w:lineRule="auto"/>
              <w:ind w:firstLine="0"/>
              <w:jc w:val="center"/>
            </w:pPr>
            <w:r>
              <w:rPr>
                <w:rFonts w:ascii="Calibri" w:hAnsi="Calibri"/>
                <w:color w:val="000000"/>
                <w:sz w:val="24"/>
              </w:rPr>
              <w:t>Wind Speed at METAR Site 3</w:t>
            </w:r>
          </w:p>
        </w:tc>
        <w:tc>
          <w:tcPr>
            <w:tcW w:w="1350" w:type="dxa"/>
            <w:vAlign w:val="center"/>
          </w:tcPr>
          <w:p w14:paraId="4748187B" w14:textId="04029B21" w:rsidR="00375988" w:rsidRDefault="00375988" w:rsidP="00375988">
            <w:pPr>
              <w:spacing w:line="240" w:lineRule="auto"/>
              <w:ind w:firstLine="0"/>
              <w:jc w:val="center"/>
            </w:pPr>
            <w:proofErr w:type="spellStart"/>
            <w:r>
              <w:rPr>
                <w:rFonts w:ascii="Calibri" w:hAnsi="Calibri"/>
                <w:color w:val="000000"/>
                <w:sz w:val="24"/>
              </w:rPr>
              <w:t>Dewpoint</w:t>
            </w:r>
            <w:proofErr w:type="spellEnd"/>
            <w:r>
              <w:rPr>
                <w:rFonts w:ascii="Calibri" w:hAnsi="Calibri"/>
                <w:color w:val="000000"/>
                <w:sz w:val="24"/>
              </w:rPr>
              <w:t xml:space="preserve"> Depression (METAR Sites Average)</w:t>
            </w:r>
          </w:p>
        </w:tc>
        <w:tc>
          <w:tcPr>
            <w:tcW w:w="1261" w:type="dxa"/>
            <w:vAlign w:val="center"/>
          </w:tcPr>
          <w:p w14:paraId="33DFF9B5" w14:textId="730601A6" w:rsidR="00375988" w:rsidRDefault="00375988" w:rsidP="00375988">
            <w:pPr>
              <w:spacing w:line="240" w:lineRule="auto"/>
              <w:ind w:firstLine="0"/>
              <w:jc w:val="center"/>
            </w:pPr>
            <w:proofErr w:type="spellStart"/>
            <w:r>
              <w:rPr>
                <w:rFonts w:ascii="Calibri" w:hAnsi="Calibri"/>
                <w:color w:val="000000"/>
                <w:sz w:val="24"/>
              </w:rPr>
              <w:t>Kt</w:t>
            </w:r>
            <w:proofErr w:type="spellEnd"/>
            <w:r>
              <w:rPr>
                <w:rFonts w:ascii="Calibri" w:hAnsi="Calibri"/>
                <w:color w:val="000000"/>
                <w:sz w:val="24"/>
              </w:rPr>
              <w:t xml:space="preserve"> Slope</w:t>
            </w:r>
          </w:p>
        </w:tc>
      </w:tr>
    </w:tbl>
    <w:p w14:paraId="0B7D3B95" w14:textId="4ECBF21E" w:rsidR="008737B5" w:rsidRPr="00C87ABE" w:rsidRDefault="008737B5" w:rsidP="008737B5">
      <w:pPr>
        <w:ind w:firstLine="0"/>
        <w:jc w:val="both"/>
        <w:rPr>
          <w:sz w:val="24"/>
        </w:rPr>
      </w:pPr>
    </w:p>
    <w:p w14:paraId="5E6380CB" w14:textId="4C236E0D" w:rsidR="008737B5" w:rsidRDefault="00842251" w:rsidP="008737B5">
      <w:pPr>
        <w:pStyle w:val="Caption"/>
        <w:keepNext/>
        <w:jc w:val="both"/>
        <w:rPr>
          <w:color w:val="auto"/>
          <w:sz w:val="24"/>
          <w:szCs w:val="24"/>
        </w:rPr>
      </w:pPr>
      <w:r w:rsidRPr="00C87ABE">
        <w:rPr>
          <w:color w:val="auto"/>
          <w:sz w:val="24"/>
          <w:szCs w:val="24"/>
        </w:rPr>
        <w:lastRenderedPageBreak/>
        <w:t>Table 3</w:t>
      </w:r>
      <w:r w:rsidR="008737B5" w:rsidRPr="00C87ABE">
        <w:rPr>
          <w:color w:val="auto"/>
          <w:sz w:val="24"/>
          <w:szCs w:val="24"/>
        </w:rPr>
        <w:t>. List of inputs for the k-means algorithm in the RDANN-</w:t>
      </w:r>
      <w:proofErr w:type="spellStart"/>
      <w:r w:rsidR="008737B5" w:rsidRPr="00C87ABE">
        <w:rPr>
          <w:color w:val="auto"/>
          <w:sz w:val="24"/>
          <w:szCs w:val="24"/>
        </w:rPr>
        <w:t>GKtCC</w:t>
      </w:r>
      <w:proofErr w:type="spellEnd"/>
      <w:r w:rsidR="008737B5" w:rsidRPr="00C87ABE">
        <w:rPr>
          <w:color w:val="auto"/>
          <w:sz w:val="24"/>
          <w:szCs w:val="24"/>
        </w:rPr>
        <w:t xml:space="preserve"> configuration. The </w:t>
      </w:r>
      <w:proofErr w:type="spellStart"/>
      <w:r w:rsidR="008737B5" w:rsidRPr="00C87ABE">
        <w:rPr>
          <w:color w:val="auto"/>
          <w:sz w:val="24"/>
          <w:szCs w:val="24"/>
        </w:rPr>
        <w:t>Kt</w:t>
      </w:r>
      <w:proofErr w:type="spellEnd"/>
      <w:r w:rsidR="008737B5" w:rsidRPr="00C87ABE">
        <w:rPr>
          <w:color w:val="auto"/>
          <w:sz w:val="24"/>
          <w:szCs w:val="24"/>
        </w:rPr>
        <w:t xml:space="preserve"> Nearby Mean and Variability are marked with an asterisk because they are only available for the SMUD sites.</w:t>
      </w:r>
      <w:bookmarkEnd w:id="24"/>
    </w:p>
    <w:tbl>
      <w:tblPr>
        <w:tblStyle w:val="TableGrid"/>
        <w:tblW w:w="0" w:type="auto"/>
        <w:tblLook w:val="04A0" w:firstRow="1" w:lastRow="0" w:firstColumn="1" w:lastColumn="0" w:noHBand="0" w:noVBand="1"/>
      </w:tblPr>
      <w:tblGrid>
        <w:gridCol w:w="2099"/>
        <w:gridCol w:w="2099"/>
        <w:gridCol w:w="2099"/>
        <w:gridCol w:w="2099"/>
      </w:tblGrid>
      <w:tr w:rsidR="008711D0" w14:paraId="601A1A36" w14:textId="77777777" w:rsidTr="000A36E4">
        <w:trPr>
          <w:trHeight w:val="1811"/>
        </w:trPr>
        <w:tc>
          <w:tcPr>
            <w:tcW w:w="2099" w:type="dxa"/>
            <w:vAlign w:val="center"/>
          </w:tcPr>
          <w:p w14:paraId="45EA1876" w14:textId="723FF059" w:rsidR="008711D0" w:rsidRDefault="008711D0" w:rsidP="008711D0">
            <w:pPr>
              <w:ind w:firstLine="0"/>
              <w:jc w:val="center"/>
            </w:pPr>
            <w:r>
              <w:rPr>
                <w:rFonts w:ascii="Calibri" w:hAnsi="Calibri"/>
                <w:color w:val="000000"/>
                <w:sz w:val="24"/>
              </w:rPr>
              <w:t>Satellite Derived Cloud Fraction</w:t>
            </w:r>
          </w:p>
        </w:tc>
        <w:tc>
          <w:tcPr>
            <w:tcW w:w="2099" w:type="dxa"/>
            <w:vAlign w:val="center"/>
          </w:tcPr>
          <w:p w14:paraId="40B94DAB" w14:textId="03ECC754" w:rsidR="008711D0" w:rsidRDefault="008711D0" w:rsidP="008711D0">
            <w:pPr>
              <w:ind w:firstLine="0"/>
              <w:jc w:val="center"/>
            </w:pPr>
            <w:r>
              <w:rPr>
                <w:rFonts w:ascii="Calibri" w:hAnsi="Calibri"/>
                <w:color w:val="000000"/>
                <w:sz w:val="24"/>
              </w:rPr>
              <w:t xml:space="preserve">Satellite Measured Reflectance at </w:t>
            </w:r>
            <w:r w:rsidR="000A36E4">
              <w:rPr>
                <w:rFonts w:ascii="Calibri" w:hAnsi="Calibri"/>
                <w:color w:val="000000"/>
                <w:sz w:val="24"/>
              </w:rPr>
              <w:t>650nm</w:t>
            </w:r>
          </w:p>
        </w:tc>
        <w:tc>
          <w:tcPr>
            <w:tcW w:w="2099" w:type="dxa"/>
            <w:vAlign w:val="center"/>
          </w:tcPr>
          <w:p w14:paraId="1FE57B0E" w14:textId="51EEA924" w:rsidR="008711D0" w:rsidRDefault="008711D0" w:rsidP="008711D0">
            <w:pPr>
              <w:ind w:firstLine="0"/>
              <w:jc w:val="center"/>
            </w:pPr>
            <w:proofErr w:type="spellStart"/>
            <w:r>
              <w:rPr>
                <w:rFonts w:ascii="Calibri" w:hAnsi="Calibri"/>
                <w:color w:val="000000"/>
                <w:sz w:val="24"/>
              </w:rPr>
              <w:t>Kt</w:t>
            </w:r>
            <w:proofErr w:type="spellEnd"/>
            <w:r>
              <w:rPr>
                <w:rFonts w:ascii="Calibri" w:hAnsi="Calibri"/>
                <w:color w:val="000000"/>
                <w:sz w:val="24"/>
              </w:rPr>
              <w:t xml:space="preserve"> Previous 15-Min</w:t>
            </w:r>
          </w:p>
        </w:tc>
        <w:tc>
          <w:tcPr>
            <w:tcW w:w="2099" w:type="dxa"/>
            <w:vAlign w:val="center"/>
          </w:tcPr>
          <w:p w14:paraId="41AE8B12" w14:textId="4BDBA7BD" w:rsidR="008711D0" w:rsidRDefault="008711D0" w:rsidP="008711D0">
            <w:pPr>
              <w:ind w:firstLine="0"/>
              <w:jc w:val="center"/>
            </w:pPr>
            <w:proofErr w:type="spellStart"/>
            <w:r>
              <w:rPr>
                <w:rFonts w:ascii="Calibri" w:hAnsi="Calibri"/>
                <w:color w:val="000000"/>
                <w:sz w:val="24"/>
              </w:rPr>
              <w:t>Kt</w:t>
            </w:r>
            <w:proofErr w:type="spellEnd"/>
            <w:r>
              <w:rPr>
                <w:rFonts w:ascii="Calibri" w:hAnsi="Calibri"/>
                <w:color w:val="000000"/>
                <w:sz w:val="24"/>
              </w:rPr>
              <w:t xml:space="preserve"> Nearby Variability (</w:t>
            </w:r>
            <w:proofErr w:type="spellStart"/>
            <w:r>
              <w:rPr>
                <w:rFonts w:ascii="Calibri" w:hAnsi="Calibri"/>
                <w:color w:val="000000"/>
                <w:sz w:val="24"/>
              </w:rPr>
              <w:t>Stdev</w:t>
            </w:r>
            <w:proofErr w:type="spellEnd"/>
            <w:r>
              <w:rPr>
                <w:rFonts w:ascii="Calibri" w:hAnsi="Calibri"/>
                <w:color w:val="000000"/>
                <w:sz w:val="24"/>
              </w:rPr>
              <w:t>)*</w:t>
            </w:r>
          </w:p>
        </w:tc>
      </w:tr>
      <w:tr w:rsidR="008711D0" w14:paraId="51D97948" w14:textId="77777777" w:rsidTr="000A36E4">
        <w:trPr>
          <w:trHeight w:val="1791"/>
        </w:trPr>
        <w:tc>
          <w:tcPr>
            <w:tcW w:w="2099" w:type="dxa"/>
            <w:vAlign w:val="center"/>
          </w:tcPr>
          <w:p w14:paraId="646C804D" w14:textId="44BED973" w:rsidR="008711D0" w:rsidRDefault="008711D0" w:rsidP="008711D0">
            <w:pPr>
              <w:ind w:firstLine="0"/>
              <w:jc w:val="center"/>
            </w:pPr>
            <w:r>
              <w:rPr>
                <w:rFonts w:ascii="Calibri" w:hAnsi="Calibri"/>
                <w:color w:val="000000"/>
                <w:sz w:val="24"/>
              </w:rPr>
              <w:t>Satellite Derived Cloud Top Temperature</w:t>
            </w:r>
          </w:p>
        </w:tc>
        <w:tc>
          <w:tcPr>
            <w:tcW w:w="2099" w:type="dxa"/>
            <w:vAlign w:val="center"/>
          </w:tcPr>
          <w:p w14:paraId="3182FF63" w14:textId="13B4E74C" w:rsidR="008711D0" w:rsidRDefault="008711D0" w:rsidP="008711D0">
            <w:pPr>
              <w:ind w:firstLine="0"/>
              <w:jc w:val="center"/>
            </w:pPr>
            <w:r>
              <w:rPr>
                <w:rFonts w:ascii="Calibri" w:hAnsi="Calibri"/>
                <w:color w:val="000000"/>
                <w:sz w:val="24"/>
              </w:rPr>
              <w:t xml:space="preserve">Satellite Measured Temperature at </w:t>
            </w:r>
            <w:r w:rsidR="000A36E4">
              <w:rPr>
                <w:rFonts w:ascii="Calibri" w:hAnsi="Calibri"/>
                <w:color w:val="000000"/>
                <w:sz w:val="24"/>
              </w:rPr>
              <w:t>650nm</w:t>
            </w:r>
          </w:p>
        </w:tc>
        <w:tc>
          <w:tcPr>
            <w:tcW w:w="2099" w:type="dxa"/>
            <w:vAlign w:val="center"/>
          </w:tcPr>
          <w:p w14:paraId="098C44A5" w14:textId="306C0188" w:rsidR="008711D0" w:rsidRDefault="008711D0" w:rsidP="008711D0">
            <w:pPr>
              <w:ind w:firstLine="0"/>
              <w:jc w:val="center"/>
            </w:pPr>
            <w:proofErr w:type="spellStart"/>
            <w:r>
              <w:rPr>
                <w:rFonts w:ascii="Calibri" w:hAnsi="Calibri"/>
                <w:color w:val="000000"/>
                <w:sz w:val="24"/>
              </w:rPr>
              <w:t>Kt</w:t>
            </w:r>
            <w:proofErr w:type="spellEnd"/>
            <w:r>
              <w:rPr>
                <w:rFonts w:ascii="Calibri" w:hAnsi="Calibri"/>
                <w:color w:val="000000"/>
                <w:sz w:val="24"/>
              </w:rPr>
              <w:t xml:space="preserve"> Temporal Variability (</w:t>
            </w:r>
            <w:proofErr w:type="spellStart"/>
            <w:r>
              <w:rPr>
                <w:rFonts w:ascii="Calibri" w:hAnsi="Calibri"/>
                <w:color w:val="000000"/>
                <w:sz w:val="24"/>
              </w:rPr>
              <w:t>Stdev</w:t>
            </w:r>
            <w:proofErr w:type="spellEnd"/>
            <w:r>
              <w:rPr>
                <w:rFonts w:ascii="Calibri" w:hAnsi="Calibri"/>
                <w:color w:val="000000"/>
                <w:sz w:val="24"/>
              </w:rPr>
              <w:t>)</w:t>
            </w:r>
          </w:p>
        </w:tc>
        <w:tc>
          <w:tcPr>
            <w:tcW w:w="2099" w:type="dxa"/>
            <w:vAlign w:val="center"/>
          </w:tcPr>
          <w:p w14:paraId="653232F3" w14:textId="3A83965F" w:rsidR="008711D0" w:rsidRDefault="008711D0" w:rsidP="008711D0">
            <w:pPr>
              <w:ind w:firstLine="0"/>
              <w:jc w:val="center"/>
            </w:pPr>
            <w:r>
              <w:rPr>
                <w:rFonts w:ascii="Calibri" w:hAnsi="Calibri"/>
                <w:color w:val="000000"/>
                <w:sz w:val="24"/>
              </w:rPr>
              <w:t>Cloud Cover Variability (</w:t>
            </w:r>
            <w:proofErr w:type="spellStart"/>
            <w:r>
              <w:rPr>
                <w:rFonts w:ascii="Calibri" w:hAnsi="Calibri"/>
                <w:color w:val="000000"/>
                <w:sz w:val="24"/>
              </w:rPr>
              <w:t>Stdev</w:t>
            </w:r>
            <w:proofErr w:type="spellEnd"/>
            <w:r>
              <w:rPr>
                <w:rFonts w:ascii="Calibri" w:hAnsi="Calibri"/>
                <w:color w:val="000000"/>
                <w:sz w:val="24"/>
              </w:rPr>
              <w:t>)</w:t>
            </w:r>
          </w:p>
        </w:tc>
      </w:tr>
      <w:tr w:rsidR="008711D0" w14:paraId="6A6DDFD6" w14:textId="77777777" w:rsidTr="000A36E4">
        <w:trPr>
          <w:trHeight w:val="1791"/>
        </w:trPr>
        <w:tc>
          <w:tcPr>
            <w:tcW w:w="2099" w:type="dxa"/>
            <w:vAlign w:val="center"/>
          </w:tcPr>
          <w:p w14:paraId="1F0E934E" w14:textId="652C9DCA" w:rsidR="008711D0" w:rsidRDefault="008711D0" w:rsidP="008711D0">
            <w:pPr>
              <w:ind w:firstLine="0"/>
              <w:jc w:val="center"/>
            </w:pPr>
            <w:r>
              <w:rPr>
                <w:rFonts w:ascii="Calibri" w:hAnsi="Calibri"/>
                <w:color w:val="000000"/>
                <w:sz w:val="24"/>
              </w:rPr>
              <w:t>Satellite Derived Cloud Optical Depth</w:t>
            </w:r>
          </w:p>
        </w:tc>
        <w:tc>
          <w:tcPr>
            <w:tcW w:w="2099" w:type="dxa"/>
            <w:vAlign w:val="center"/>
          </w:tcPr>
          <w:p w14:paraId="0D35CA24" w14:textId="7BAE4212" w:rsidR="008711D0" w:rsidRDefault="008711D0" w:rsidP="008711D0">
            <w:pPr>
              <w:ind w:firstLine="0"/>
              <w:jc w:val="center"/>
            </w:pPr>
            <w:r>
              <w:rPr>
                <w:rFonts w:ascii="Calibri" w:hAnsi="Calibri"/>
                <w:color w:val="000000"/>
                <w:sz w:val="24"/>
              </w:rPr>
              <w:t>Satellite Measured Reflectance at 3.75um</w:t>
            </w:r>
          </w:p>
        </w:tc>
        <w:tc>
          <w:tcPr>
            <w:tcW w:w="2099" w:type="dxa"/>
            <w:vAlign w:val="center"/>
          </w:tcPr>
          <w:p w14:paraId="63988065" w14:textId="672997C2" w:rsidR="008711D0" w:rsidRDefault="008711D0" w:rsidP="008711D0">
            <w:pPr>
              <w:ind w:firstLine="0"/>
              <w:jc w:val="center"/>
            </w:pPr>
            <w:r>
              <w:rPr>
                <w:rFonts w:ascii="Calibri" w:hAnsi="Calibri"/>
                <w:color w:val="000000"/>
                <w:sz w:val="24"/>
              </w:rPr>
              <w:t xml:space="preserve">Most recent </w:t>
            </w:r>
            <w:proofErr w:type="spellStart"/>
            <w:r>
              <w:rPr>
                <w:rFonts w:ascii="Calibri" w:hAnsi="Calibri"/>
                <w:color w:val="000000"/>
                <w:sz w:val="24"/>
              </w:rPr>
              <w:t>Kt</w:t>
            </w:r>
            <w:proofErr w:type="spellEnd"/>
            <w:r>
              <w:rPr>
                <w:rFonts w:ascii="Calibri" w:hAnsi="Calibri"/>
                <w:color w:val="000000"/>
                <w:sz w:val="24"/>
              </w:rPr>
              <w:t xml:space="preserve"> Change (</w:t>
            </w:r>
            <w:proofErr w:type="spellStart"/>
            <w:r>
              <w:rPr>
                <w:rFonts w:ascii="Calibri" w:hAnsi="Calibri"/>
                <w:color w:val="000000"/>
                <w:sz w:val="24"/>
              </w:rPr>
              <w:t>Kt</w:t>
            </w:r>
            <w:proofErr w:type="spellEnd"/>
            <w:r>
              <w:rPr>
                <w:rFonts w:ascii="Calibri" w:hAnsi="Calibri"/>
                <w:color w:val="000000"/>
                <w:sz w:val="24"/>
              </w:rPr>
              <w:t xml:space="preserve"> Prev15 - </w:t>
            </w:r>
            <w:proofErr w:type="spellStart"/>
            <w:r>
              <w:rPr>
                <w:rFonts w:ascii="Calibri" w:hAnsi="Calibri"/>
                <w:color w:val="000000"/>
                <w:sz w:val="24"/>
              </w:rPr>
              <w:t>Kt</w:t>
            </w:r>
            <w:proofErr w:type="spellEnd"/>
            <w:r>
              <w:rPr>
                <w:rFonts w:ascii="Calibri" w:hAnsi="Calibri"/>
                <w:color w:val="000000"/>
                <w:sz w:val="24"/>
              </w:rPr>
              <w:t xml:space="preserve"> Prev30)</w:t>
            </w:r>
          </w:p>
        </w:tc>
        <w:tc>
          <w:tcPr>
            <w:tcW w:w="2099" w:type="dxa"/>
            <w:vAlign w:val="center"/>
          </w:tcPr>
          <w:p w14:paraId="6C82A12B" w14:textId="41AFEAFB" w:rsidR="008711D0" w:rsidRDefault="008711D0" w:rsidP="008711D0">
            <w:pPr>
              <w:ind w:firstLine="0"/>
              <w:jc w:val="center"/>
            </w:pPr>
            <w:r>
              <w:rPr>
                <w:rFonts w:ascii="Calibri" w:hAnsi="Calibri"/>
                <w:color w:val="000000"/>
                <w:sz w:val="24"/>
              </w:rPr>
              <w:t>Cloud Cover Squared</w:t>
            </w:r>
          </w:p>
        </w:tc>
      </w:tr>
      <w:tr w:rsidR="008711D0" w14:paraId="7DAB946C" w14:textId="77777777" w:rsidTr="000A36E4">
        <w:trPr>
          <w:trHeight w:val="597"/>
        </w:trPr>
        <w:tc>
          <w:tcPr>
            <w:tcW w:w="2099" w:type="dxa"/>
            <w:vAlign w:val="center"/>
          </w:tcPr>
          <w:p w14:paraId="14310044" w14:textId="14D6828B" w:rsidR="008711D0" w:rsidRDefault="008711D0" w:rsidP="008711D0">
            <w:pPr>
              <w:ind w:firstLine="0"/>
              <w:jc w:val="center"/>
            </w:pPr>
            <w:r>
              <w:rPr>
                <w:rFonts w:ascii="Calibri" w:hAnsi="Calibri"/>
                <w:color w:val="000000"/>
                <w:sz w:val="24"/>
              </w:rPr>
              <w:t>Satellite Derived Hydrometeor Radius</w:t>
            </w:r>
          </w:p>
        </w:tc>
        <w:tc>
          <w:tcPr>
            <w:tcW w:w="2099" w:type="dxa"/>
            <w:vAlign w:val="center"/>
          </w:tcPr>
          <w:p w14:paraId="36E3FD48" w14:textId="045ABC6E" w:rsidR="008711D0" w:rsidRDefault="008711D0" w:rsidP="008711D0">
            <w:pPr>
              <w:ind w:firstLine="0"/>
              <w:jc w:val="center"/>
            </w:pPr>
            <w:r>
              <w:rPr>
                <w:rFonts w:ascii="Calibri" w:hAnsi="Calibri"/>
                <w:color w:val="000000"/>
                <w:sz w:val="24"/>
              </w:rPr>
              <w:t>Satellite Measured Temperature at 3.75um</w:t>
            </w:r>
          </w:p>
        </w:tc>
        <w:tc>
          <w:tcPr>
            <w:tcW w:w="2099" w:type="dxa"/>
            <w:vAlign w:val="center"/>
          </w:tcPr>
          <w:p w14:paraId="63787F0F" w14:textId="27FB88B3" w:rsidR="008711D0" w:rsidRDefault="008711D0" w:rsidP="008711D0">
            <w:pPr>
              <w:ind w:firstLine="0"/>
              <w:jc w:val="center"/>
            </w:pPr>
            <w:proofErr w:type="spellStart"/>
            <w:r>
              <w:rPr>
                <w:rFonts w:ascii="Calibri" w:hAnsi="Calibri"/>
                <w:color w:val="000000"/>
                <w:sz w:val="24"/>
              </w:rPr>
              <w:t>Kt</w:t>
            </w:r>
            <w:proofErr w:type="spellEnd"/>
            <w:r>
              <w:rPr>
                <w:rFonts w:ascii="Calibri" w:hAnsi="Calibri"/>
                <w:color w:val="000000"/>
                <w:sz w:val="24"/>
              </w:rPr>
              <w:t xml:space="preserve"> Nearby Mean*</w:t>
            </w:r>
          </w:p>
        </w:tc>
        <w:tc>
          <w:tcPr>
            <w:tcW w:w="2099" w:type="dxa"/>
            <w:vAlign w:val="center"/>
          </w:tcPr>
          <w:p w14:paraId="20AF3C5E" w14:textId="77B81277" w:rsidR="008711D0" w:rsidRDefault="008711D0" w:rsidP="008711D0">
            <w:pPr>
              <w:ind w:firstLine="0"/>
              <w:jc w:val="center"/>
            </w:pPr>
            <w:proofErr w:type="spellStart"/>
            <w:r>
              <w:rPr>
                <w:rFonts w:ascii="Calibri" w:hAnsi="Calibri"/>
                <w:color w:val="000000"/>
                <w:sz w:val="24"/>
              </w:rPr>
              <w:t>Kt</w:t>
            </w:r>
            <w:proofErr w:type="spellEnd"/>
            <w:r>
              <w:rPr>
                <w:rFonts w:ascii="Calibri" w:hAnsi="Calibri"/>
                <w:color w:val="000000"/>
                <w:sz w:val="24"/>
              </w:rPr>
              <w:t xml:space="preserve"> Slope</w:t>
            </w:r>
          </w:p>
        </w:tc>
      </w:tr>
    </w:tbl>
    <w:p w14:paraId="6875208E" w14:textId="77777777" w:rsidR="005F315C" w:rsidRPr="008711D0" w:rsidRDefault="005F315C" w:rsidP="008711D0">
      <w:pPr>
        <w:ind w:firstLine="0"/>
      </w:pPr>
    </w:p>
    <w:p w14:paraId="2A50D865" w14:textId="353C75F9" w:rsidR="008737B5" w:rsidRPr="00C87ABE" w:rsidRDefault="008737B5" w:rsidP="008737B5">
      <w:pPr>
        <w:ind w:firstLine="0"/>
        <w:jc w:val="both"/>
        <w:rPr>
          <w:sz w:val="24"/>
        </w:rPr>
      </w:pPr>
    </w:p>
    <w:p w14:paraId="75C97841" w14:textId="77777777" w:rsidR="00A543D0" w:rsidRDefault="00A543D0">
      <w:pPr>
        <w:tabs>
          <w:tab w:val="clear" w:pos="720"/>
        </w:tabs>
        <w:suppressAutoHyphens w:val="0"/>
        <w:spacing w:line="240" w:lineRule="auto"/>
        <w:ind w:firstLine="0"/>
        <w:rPr>
          <w:rFonts w:eastAsia="MS Mincho"/>
          <w:bCs/>
          <w:sz w:val="24"/>
        </w:rPr>
      </w:pPr>
      <w:r>
        <w:rPr>
          <w:sz w:val="24"/>
        </w:rPr>
        <w:br w:type="page"/>
      </w:r>
    </w:p>
    <w:p w14:paraId="7A8A5CB3" w14:textId="100047A6" w:rsidR="008737B5" w:rsidRDefault="00842251" w:rsidP="008737B5">
      <w:pPr>
        <w:pStyle w:val="Caption"/>
        <w:keepNext/>
        <w:jc w:val="both"/>
        <w:rPr>
          <w:color w:val="auto"/>
          <w:sz w:val="24"/>
          <w:szCs w:val="24"/>
        </w:rPr>
      </w:pPr>
      <w:r w:rsidRPr="00C87ABE">
        <w:rPr>
          <w:color w:val="auto"/>
          <w:sz w:val="24"/>
          <w:szCs w:val="24"/>
        </w:rPr>
        <w:lastRenderedPageBreak/>
        <w:t>Table 4</w:t>
      </w:r>
      <w:r w:rsidR="008737B5" w:rsidRPr="00C87ABE">
        <w:rPr>
          <w:color w:val="auto"/>
          <w:sz w:val="24"/>
          <w:szCs w:val="24"/>
        </w:rPr>
        <w:t>. Best number of regimes, K, and number of neurons in the hidden layer for all forecast lead-times at both SMUD and BNL as determined by the lowest error on the sensitivity test set.</w:t>
      </w:r>
      <w:bookmarkEnd w:id="25"/>
    </w:p>
    <w:tbl>
      <w:tblPr>
        <w:tblStyle w:val="TableGrid"/>
        <w:tblW w:w="0" w:type="auto"/>
        <w:tblLook w:val="04A0" w:firstRow="1" w:lastRow="0" w:firstColumn="1" w:lastColumn="0" w:noHBand="0" w:noVBand="1"/>
      </w:tblPr>
      <w:tblGrid>
        <w:gridCol w:w="1679"/>
        <w:gridCol w:w="1679"/>
        <w:gridCol w:w="1679"/>
        <w:gridCol w:w="1679"/>
        <w:gridCol w:w="1680"/>
      </w:tblGrid>
      <w:tr w:rsidR="000A36E4" w14:paraId="21844C89" w14:textId="77777777" w:rsidTr="000A36E4">
        <w:trPr>
          <w:trHeight w:val="149"/>
        </w:trPr>
        <w:tc>
          <w:tcPr>
            <w:tcW w:w="1679" w:type="dxa"/>
            <w:vAlign w:val="bottom"/>
          </w:tcPr>
          <w:p w14:paraId="7BD40760" w14:textId="77777777" w:rsidR="000A36E4" w:rsidRDefault="000A36E4" w:rsidP="000A36E4">
            <w:pPr>
              <w:ind w:firstLine="0"/>
              <w:jc w:val="center"/>
            </w:pPr>
          </w:p>
        </w:tc>
        <w:tc>
          <w:tcPr>
            <w:tcW w:w="3358" w:type="dxa"/>
            <w:gridSpan w:val="2"/>
            <w:vAlign w:val="center"/>
          </w:tcPr>
          <w:p w14:paraId="0244D0FA" w14:textId="7BC0D4A9" w:rsidR="000A36E4" w:rsidRDefault="000A36E4" w:rsidP="000A36E4">
            <w:pPr>
              <w:ind w:firstLine="0"/>
              <w:jc w:val="center"/>
            </w:pPr>
            <w:r>
              <w:rPr>
                <w:rFonts w:ascii="Calibri" w:hAnsi="Calibri"/>
                <w:color w:val="000000"/>
                <w:sz w:val="24"/>
              </w:rPr>
              <w:t>SMUD</w:t>
            </w:r>
          </w:p>
        </w:tc>
        <w:tc>
          <w:tcPr>
            <w:tcW w:w="3359" w:type="dxa"/>
            <w:gridSpan w:val="2"/>
            <w:vAlign w:val="center"/>
          </w:tcPr>
          <w:p w14:paraId="340AE873" w14:textId="4DC97345" w:rsidR="000A36E4" w:rsidRDefault="000A36E4" w:rsidP="000A36E4">
            <w:pPr>
              <w:ind w:firstLine="0"/>
              <w:jc w:val="center"/>
            </w:pPr>
            <w:r>
              <w:rPr>
                <w:rFonts w:ascii="Calibri" w:hAnsi="Calibri"/>
                <w:color w:val="000000"/>
                <w:sz w:val="24"/>
              </w:rPr>
              <w:t>BNL</w:t>
            </w:r>
          </w:p>
        </w:tc>
      </w:tr>
      <w:tr w:rsidR="000A36E4" w14:paraId="6DB7B9A9" w14:textId="77777777" w:rsidTr="000A36E4">
        <w:trPr>
          <w:trHeight w:val="149"/>
        </w:trPr>
        <w:tc>
          <w:tcPr>
            <w:tcW w:w="1679" w:type="dxa"/>
            <w:vAlign w:val="bottom"/>
          </w:tcPr>
          <w:p w14:paraId="6B78E58E" w14:textId="77777777" w:rsidR="000A36E4" w:rsidRDefault="000A36E4" w:rsidP="000A36E4">
            <w:pPr>
              <w:ind w:firstLine="0"/>
              <w:jc w:val="center"/>
            </w:pPr>
          </w:p>
        </w:tc>
        <w:tc>
          <w:tcPr>
            <w:tcW w:w="1679" w:type="dxa"/>
            <w:vAlign w:val="center"/>
          </w:tcPr>
          <w:p w14:paraId="180B64DC" w14:textId="1A5981D4" w:rsidR="000A36E4" w:rsidRDefault="000A36E4" w:rsidP="000A36E4">
            <w:pPr>
              <w:ind w:firstLine="0"/>
              <w:jc w:val="center"/>
            </w:pPr>
            <w:r>
              <w:rPr>
                <w:rFonts w:ascii="Calibri" w:hAnsi="Calibri"/>
                <w:color w:val="000000"/>
                <w:sz w:val="24"/>
              </w:rPr>
              <w:t>K</w:t>
            </w:r>
          </w:p>
        </w:tc>
        <w:tc>
          <w:tcPr>
            <w:tcW w:w="1679" w:type="dxa"/>
            <w:vAlign w:val="center"/>
          </w:tcPr>
          <w:p w14:paraId="08291189" w14:textId="76D652A4" w:rsidR="000A36E4" w:rsidRDefault="000A36E4" w:rsidP="000A36E4">
            <w:pPr>
              <w:ind w:firstLine="0"/>
              <w:jc w:val="center"/>
            </w:pPr>
            <w:r>
              <w:rPr>
                <w:rFonts w:ascii="Calibri" w:hAnsi="Calibri"/>
                <w:color w:val="000000"/>
                <w:sz w:val="24"/>
              </w:rPr>
              <w:t>Nodes</w:t>
            </w:r>
          </w:p>
        </w:tc>
        <w:tc>
          <w:tcPr>
            <w:tcW w:w="1679" w:type="dxa"/>
            <w:vAlign w:val="center"/>
          </w:tcPr>
          <w:p w14:paraId="2A925E6E" w14:textId="172D595D" w:rsidR="000A36E4" w:rsidRDefault="000A36E4" w:rsidP="000A36E4">
            <w:pPr>
              <w:ind w:firstLine="0"/>
              <w:jc w:val="center"/>
            </w:pPr>
            <w:r>
              <w:rPr>
                <w:rFonts w:ascii="Calibri" w:hAnsi="Calibri"/>
                <w:color w:val="000000"/>
                <w:sz w:val="24"/>
              </w:rPr>
              <w:t>K</w:t>
            </w:r>
          </w:p>
        </w:tc>
        <w:tc>
          <w:tcPr>
            <w:tcW w:w="1680" w:type="dxa"/>
            <w:vAlign w:val="center"/>
          </w:tcPr>
          <w:p w14:paraId="4C3D7B80" w14:textId="41C9FAF5" w:rsidR="000A36E4" w:rsidRDefault="000A36E4" w:rsidP="000A36E4">
            <w:pPr>
              <w:ind w:firstLine="0"/>
              <w:jc w:val="center"/>
            </w:pPr>
            <w:r>
              <w:rPr>
                <w:rFonts w:ascii="Calibri" w:hAnsi="Calibri"/>
                <w:color w:val="000000"/>
                <w:sz w:val="24"/>
              </w:rPr>
              <w:t>Nodes</w:t>
            </w:r>
          </w:p>
        </w:tc>
      </w:tr>
      <w:tr w:rsidR="000A36E4" w14:paraId="2A11BBE7" w14:textId="77777777" w:rsidTr="000A36E4">
        <w:trPr>
          <w:trHeight w:val="149"/>
        </w:trPr>
        <w:tc>
          <w:tcPr>
            <w:tcW w:w="1679" w:type="dxa"/>
            <w:vAlign w:val="bottom"/>
          </w:tcPr>
          <w:p w14:paraId="3C5A7245" w14:textId="7CAD6F5A" w:rsidR="000A36E4" w:rsidRDefault="000A36E4" w:rsidP="000A36E4">
            <w:pPr>
              <w:ind w:firstLine="0"/>
              <w:jc w:val="center"/>
            </w:pPr>
            <w:r>
              <w:rPr>
                <w:rFonts w:ascii="Calibri" w:hAnsi="Calibri"/>
                <w:color w:val="000000"/>
                <w:sz w:val="24"/>
              </w:rPr>
              <w:t>15-Min</w:t>
            </w:r>
          </w:p>
        </w:tc>
        <w:tc>
          <w:tcPr>
            <w:tcW w:w="1679" w:type="dxa"/>
            <w:vAlign w:val="bottom"/>
          </w:tcPr>
          <w:p w14:paraId="74DE8DDD" w14:textId="2495D48C" w:rsidR="000A36E4" w:rsidRDefault="000A36E4" w:rsidP="000A36E4">
            <w:pPr>
              <w:ind w:firstLine="0"/>
              <w:jc w:val="center"/>
            </w:pPr>
            <w:r>
              <w:rPr>
                <w:rFonts w:ascii="Calibri" w:hAnsi="Calibri"/>
                <w:color w:val="000000"/>
                <w:sz w:val="24"/>
              </w:rPr>
              <w:t>2</w:t>
            </w:r>
          </w:p>
        </w:tc>
        <w:tc>
          <w:tcPr>
            <w:tcW w:w="1679" w:type="dxa"/>
            <w:vAlign w:val="bottom"/>
          </w:tcPr>
          <w:p w14:paraId="18F55E75" w14:textId="2307B449" w:rsidR="000A36E4" w:rsidRDefault="000A36E4" w:rsidP="000A36E4">
            <w:pPr>
              <w:ind w:firstLine="0"/>
              <w:jc w:val="center"/>
            </w:pPr>
            <w:r>
              <w:rPr>
                <w:rFonts w:ascii="Calibri" w:hAnsi="Calibri"/>
                <w:color w:val="000000"/>
                <w:sz w:val="24"/>
              </w:rPr>
              <w:t>5</w:t>
            </w:r>
          </w:p>
        </w:tc>
        <w:tc>
          <w:tcPr>
            <w:tcW w:w="1679" w:type="dxa"/>
            <w:vAlign w:val="bottom"/>
          </w:tcPr>
          <w:p w14:paraId="18357C0F" w14:textId="799C1B8C" w:rsidR="000A36E4" w:rsidRDefault="000A36E4" w:rsidP="000A36E4">
            <w:pPr>
              <w:ind w:firstLine="0"/>
              <w:jc w:val="center"/>
            </w:pPr>
            <w:r>
              <w:rPr>
                <w:rFonts w:ascii="Calibri" w:hAnsi="Calibri"/>
                <w:color w:val="000000"/>
                <w:sz w:val="24"/>
              </w:rPr>
              <w:t>2</w:t>
            </w:r>
          </w:p>
        </w:tc>
        <w:tc>
          <w:tcPr>
            <w:tcW w:w="1680" w:type="dxa"/>
            <w:vAlign w:val="bottom"/>
          </w:tcPr>
          <w:p w14:paraId="56E4FED9" w14:textId="74D9D18D" w:rsidR="000A36E4" w:rsidRDefault="000A36E4" w:rsidP="000A36E4">
            <w:pPr>
              <w:ind w:firstLine="0"/>
              <w:jc w:val="center"/>
            </w:pPr>
            <w:r>
              <w:rPr>
                <w:rFonts w:ascii="Calibri" w:hAnsi="Calibri"/>
                <w:color w:val="000000"/>
                <w:sz w:val="24"/>
              </w:rPr>
              <w:t>10</w:t>
            </w:r>
          </w:p>
        </w:tc>
      </w:tr>
      <w:tr w:rsidR="000A36E4" w14:paraId="45D48CED" w14:textId="77777777" w:rsidTr="000A36E4">
        <w:trPr>
          <w:trHeight w:val="149"/>
        </w:trPr>
        <w:tc>
          <w:tcPr>
            <w:tcW w:w="1679" w:type="dxa"/>
            <w:vAlign w:val="bottom"/>
          </w:tcPr>
          <w:p w14:paraId="05624412" w14:textId="63490CA0" w:rsidR="000A36E4" w:rsidRDefault="000A36E4" w:rsidP="000A36E4">
            <w:pPr>
              <w:ind w:firstLine="0"/>
              <w:jc w:val="center"/>
            </w:pPr>
            <w:r>
              <w:rPr>
                <w:rFonts w:ascii="Calibri" w:hAnsi="Calibri"/>
                <w:color w:val="000000"/>
                <w:sz w:val="24"/>
              </w:rPr>
              <w:t>60-Min</w:t>
            </w:r>
          </w:p>
        </w:tc>
        <w:tc>
          <w:tcPr>
            <w:tcW w:w="1679" w:type="dxa"/>
            <w:vAlign w:val="bottom"/>
          </w:tcPr>
          <w:p w14:paraId="25DA0E07" w14:textId="04764074" w:rsidR="000A36E4" w:rsidRDefault="000A36E4" w:rsidP="000A36E4">
            <w:pPr>
              <w:ind w:firstLine="0"/>
              <w:jc w:val="center"/>
            </w:pPr>
            <w:r>
              <w:rPr>
                <w:rFonts w:ascii="Calibri" w:hAnsi="Calibri"/>
                <w:color w:val="000000"/>
                <w:sz w:val="24"/>
              </w:rPr>
              <w:t>2</w:t>
            </w:r>
          </w:p>
        </w:tc>
        <w:tc>
          <w:tcPr>
            <w:tcW w:w="1679" w:type="dxa"/>
            <w:vAlign w:val="bottom"/>
          </w:tcPr>
          <w:p w14:paraId="3958F1D1" w14:textId="47934BF3" w:rsidR="000A36E4" w:rsidRDefault="000A36E4" w:rsidP="000A36E4">
            <w:pPr>
              <w:ind w:firstLine="0"/>
              <w:jc w:val="center"/>
            </w:pPr>
            <w:r>
              <w:rPr>
                <w:rFonts w:ascii="Calibri" w:hAnsi="Calibri"/>
                <w:color w:val="000000"/>
                <w:sz w:val="24"/>
              </w:rPr>
              <w:t>15</w:t>
            </w:r>
          </w:p>
        </w:tc>
        <w:tc>
          <w:tcPr>
            <w:tcW w:w="1679" w:type="dxa"/>
            <w:vAlign w:val="bottom"/>
          </w:tcPr>
          <w:p w14:paraId="2441BF83" w14:textId="78D590C0" w:rsidR="000A36E4" w:rsidRDefault="000A36E4" w:rsidP="000A36E4">
            <w:pPr>
              <w:ind w:firstLine="0"/>
              <w:jc w:val="center"/>
            </w:pPr>
            <w:r>
              <w:rPr>
                <w:rFonts w:ascii="Calibri" w:hAnsi="Calibri"/>
                <w:color w:val="000000"/>
                <w:sz w:val="24"/>
              </w:rPr>
              <w:t>2</w:t>
            </w:r>
          </w:p>
        </w:tc>
        <w:tc>
          <w:tcPr>
            <w:tcW w:w="1680" w:type="dxa"/>
            <w:vAlign w:val="bottom"/>
          </w:tcPr>
          <w:p w14:paraId="095CBD3D" w14:textId="341F1009" w:rsidR="000A36E4" w:rsidRDefault="000A36E4" w:rsidP="000A36E4">
            <w:pPr>
              <w:ind w:firstLine="0"/>
              <w:jc w:val="center"/>
            </w:pPr>
            <w:r>
              <w:rPr>
                <w:rFonts w:ascii="Calibri" w:hAnsi="Calibri"/>
                <w:color w:val="000000"/>
                <w:sz w:val="24"/>
              </w:rPr>
              <w:t>15</w:t>
            </w:r>
          </w:p>
        </w:tc>
      </w:tr>
      <w:tr w:rsidR="000A36E4" w14:paraId="3815015E" w14:textId="77777777" w:rsidTr="000A36E4">
        <w:trPr>
          <w:trHeight w:val="149"/>
        </w:trPr>
        <w:tc>
          <w:tcPr>
            <w:tcW w:w="1679" w:type="dxa"/>
            <w:vAlign w:val="bottom"/>
          </w:tcPr>
          <w:p w14:paraId="062F29AE" w14:textId="26B6ED88" w:rsidR="000A36E4" w:rsidRDefault="000A36E4" w:rsidP="000A36E4">
            <w:pPr>
              <w:ind w:firstLine="0"/>
              <w:jc w:val="center"/>
            </w:pPr>
            <w:r>
              <w:rPr>
                <w:rFonts w:ascii="Calibri" w:hAnsi="Calibri"/>
                <w:color w:val="000000"/>
                <w:sz w:val="24"/>
              </w:rPr>
              <w:t>120-Min</w:t>
            </w:r>
          </w:p>
        </w:tc>
        <w:tc>
          <w:tcPr>
            <w:tcW w:w="1679" w:type="dxa"/>
            <w:vAlign w:val="bottom"/>
          </w:tcPr>
          <w:p w14:paraId="5A5EB9EC" w14:textId="52C34017" w:rsidR="000A36E4" w:rsidRDefault="000A36E4" w:rsidP="000A36E4">
            <w:pPr>
              <w:ind w:firstLine="0"/>
              <w:jc w:val="center"/>
            </w:pPr>
            <w:r>
              <w:rPr>
                <w:rFonts w:ascii="Calibri" w:hAnsi="Calibri"/>
                <w:color w:val="000000"/>
                <w:sz w:val="24"/>
              </w:rPr>
              <w:t>3</w:t>
            </w:r>
          </w:p>
        </w:tc>
        <w:tc>
          <w:tcPr>
            <w:tcW w:w="1679" w:type="dxa"/>
            <w:vAlign w:val="bottom"/>
          </w:tcPr>
          <w:p w14:paraId="7F0F7809" w14:textId="277E8959" w:rsidR="000A36E4" w:rsidRDefault="000A36E4" w:rsidP="000A36E4">
            <w:pPr>
              <w:ind w:firstLine="0"/>
              <w:jc w:val="center"/>
            </w:pPr>
            <w:r>
              <w:rPr>
                <w:rFonts w:ascii="Calibri" w:hAnsi="Calibri"/>
                <w:color w:val="000000"/>
                <w:sz w:val="24"/>
              </w:rPr>
              <w:t>20</w:t>
            </w:r>
          </w:p>
        </w:tc>
        <w:tc>
          <w:tcPr>
            <w:tcW w:w="1679" w:type="dxa"/>
            <w:vAlign w:val="bottom"/>
          </w:tcPr>
          <w:p w14:paraId="0F7CE14A" w14:textId="3C67F0C0" w:rsidR="000A36E4" w:rsidRDefault="000A36E4" w:rsidP="000A36E4">
            <w:pPr>
              <w:ind w:firstLine="0"/>
              <w:jc w:val="center"/>
            </w:pPr>
            <w:r>
              <w:rPr>
                <w:rFonts w:ascii="Calibri" w:hAnsi="Calibri"/>
                <w:color w:val="000000"/>
                <w:sz w:val="24"/>
              </w:rPr>
              <w:t>2</w:t>
            </w:r>
          </w:p>
        </w:tc>
        <w:tc>
          <w:tcPr>
            <w:tcW w:w="1680" w:type="dxa"/>
            <w:vAlign w:val="bottom"/>
          </w:tcPr>
          <w:p w14:paraId="44DB9CA3" w14:textId="7A8BD248" w:rsidR="000A36E4" w:rsidRDefault="000A36E4" w:rsidP="000A36E4">
            <w:pPr>
              <w:ind w:firstLine="0"/>
              <w:jc w:val="center"/>
            </w:pPr>
            <w:r>
              <w:rPr>
                <w:rFonts w:ascii="Calibri" w:hAnsi="Calibri"/>
                <w:color w:val="000000"/>
                <w:sz w:val="24"/>
              </w:rPr>
              <w:t>5</w:t>
            </w:r>
          </w:p>
        </w:tc>
      </w:tr>
      <w:tr w:rsidR="000A36E4" w14:paraId="6E1B821D" w14:textId="77777777" w:rsidTr="000A36E4">
        <w:trPr>
          <w:trHeight w:val="149"/>
        </w:trPr>
        <w:tc>
          <w:tcPr>
            <w:tcW w:w="1679" w:type="dxa"/>
            <w:vAlign w:val="bottom"/>
          </w:tcPr>
          <w:p w14:paraId="18E2390F" w14:textId="610F20DF" w:rsidR="000A36E4" w:rsidRDefault="000A36E4" w:rsidP="000A36E4">
            <w:pPr>
              <w:ind w:firstLine="0"/>
              <w:jc w:val="center"/>
            </w:pPr>
            <w:r>
              <w:rPr>
                <w:rFonts w:ascii="Calibri" w:hAnsi="Calibri"/>
                <w:color w:val="000000"/>
                <w:sz w:val="24"/>
              </w:rPr>
              <w:t>180-Min</w:t>
            </w:r>
          </w:p>
        </w:tc>
        <w:tc>
          <w:tcPr>
            <w:tcW w:w="1679" w:type="dxa"/>
            <w:vAlign w:val="bottom"/>
          </w:tcPr>
          <w:p w14:paraId="39B3B9FC" w14:textId="1C6CE9A6" w:rsidR="000A36E4" w:rsidRDefault="000A36E4" w:rsidP="000A36E4">
            <w:pPr>
              <w:ind w:firstLine="0"/>
              <w:jc w:val="center"/>
            </w:pPr>
            <w:r>
              <w:rPr>
                <w:rFonts w:ascii="Calibri" w:hAnsi="Calibri"/>
                <w:color w:val="000000"/>
                <w:sz w:val="24"/>
              </w:rPr>
              <w:t>3</w:t>
            </w:r>
          </w:p>
        </w:tc>
        <w:tc>
          <w:tcPr>
            <w:tcW w:w="1679" w:type="dxa"/>
            <w:vAlign w:val="bottom"/>
          </w:tcPr>
          <w:p w14:paraId="3EF2C19A" w14:textId="194C4898" w:rsidR="000A36E4" w:rsidRDefault="000A36E4" w:rsidP="000A36E4">
            <w:pPr>
              <w:ind w:firstLine="0"/>
              <w:jc w:val="center"/>
            </w:pPr>
            <w:r>
              <w:rPr>
                <w:rFonts w:ascii="Calibri" w:hAnsi="Calibri"/>
                <w:color w:val="000000"/>
                <w:sz w:val="24"/>
              </w:rPr>
              <w:t>15</w:t>
            </w:r>
          </w:p>
        </w:tc>
        <w:tc>
          <w:tcPr>
            <w:tcW w:w="1679" w:type="dxa"/>
            <w:vAlign w:val="bottom"/>
          </w:tcPr>
          <w:p w14:paraId="01FA0E9C" w14:textId="1E89A70B" w:rsidR="000A36E4" w:rsidRDefault="000A36E4" w:rsidP="000A36E4">
            <w:pPr>
              <w:ind w:firstLine="0"/>
              <w:jc w:val="center"/>
            </w:pPr>
            <w:r>
              <w:rPr>
                <w:rFonts w:ascii="Calibri" w:hAnsi="Calibri"/>
                <w:color w:val="000000"/>
                <w:sz w:val="24"/>
              </w:rPr>
              <w:t>2</w:t>
            </w:r>
          </w:p>
        </w:tc>
        <w:tc>
          <w:tcPr>
            <w:tcW w:w="1680" w:type="dxa"/>
            <w:vAlign w:val="bottom"/>
          </w:tcPr>
          <w:p w14:paraId="710F2C18" w14:textId="21DA10D6" w:rsidR="000A36E4" w:rsidRDefault="000A36E4" w:rsidP="000A36E4">
            <w:pPr>
              <w:ind w:firstLine="0"/>
              <w:jc w:val="center"/>
            </w:pPr>
            <w:r>
              <w:rPr>
                <w:rFonts w:ascii="Calibri" w:hAnsi="Calibri"/>
                <w:color w:val="000000"/>
                <w:sz w:val="24"/>
              </w:rPr>
              <w:t>10</w:t>
            </w:r>
          </w:p>
        </w:tc>
      </w:tr>
    </w:tbl>
    <w:p w14:paraId="44EA172A" w14:textId="77777777" w:rsidR="000A36E4" w:rsidRPr="000A36E4" w:rsidRDefault="000A36E4" w:rsidP="000A36E4">
      <w:pPr>
        <w:ind w:firstLine="0"/>
      </w:pPr>
    </w:p>
    <w:p w14:paraId="29134035" w14:textId="4202BF31" w:rsidR="008737B5" w:rsidRPr="00C87ABE" w:rsidRDefault="008737B5" w:rsidP="008737B5">
      <w:pPr>
        <w:ind w:firstLine="0"/>
        <w:jc w:val="both"/>
        <w:rPr>
          <w:sz w:val="24"/>
        </w:rPr>
      </w:pPr>
    </w:p>
    <w:p w14:paraId="6292EA6C" w14:textId="1104E240" w:rsidR="008737B5" w:rsidRDefault="00842251" w:rsidP="008737B5">
      <w:pPr>
        <w:pStyle w:val="Caption"/>
        <w:keepNext/>
        <w:jc w:val="both"/>
        <w:rPr>
          <w:color w:val="auto"/>
          <w:sz w:val="24"/>
          <w:szCs w:val="24"/>
        </w:rPr>
      </w:pPr>
      <w:r w:rsidRPr="00C87ABE">
        <w:rPr>
          <w:color w:val="auto"/>
          <w:sz w:val="24"/>
          <w:szCs w:val="24"/>
        </w:rPr>
        <w:t>Table 5</w:t>
      </w:r>
      <w:r w:rsidR="008737B5" w:rsidRPr="00C87ABE">
        <w:rPr>
          <w:color w:val="auto"/>
          <w:sz w:val="24"/>
          <w:szCs w:val="24"/>
        </w:rPr>
        <w:t>. Comparison of MAE for the clearness index persistence and the ANN, CLEAR model for all forecast lead-times</w:t>
      </w:r>
      <w:r w:rsidR="00A53EAA">
        <w:rPr>
          <w:color w:val="auto"/>
          <w:sz w:val="24"/>
          <w:szCs w:val="24"/>
        </w:rPr>
        <w:t xml:space="preserve"> for the SMUD site</w:t>
      </w:r>
      <w:r w:rsidR="008737B5" w:rsidRPr="00C87ABE">
        <w:rPr>
          <w:color w:val="auto"/>
          <w:sz w:val="24"/>
          <w:szCs w:val="24"/>
        </w:rPr>
        <w:t>.</w:t>
      </w:r>
      <w:bookmarkEnd w:id="26"/>
    </w:p>
    <w:tbl>
      <w:tblPr>
        <w:tblStyle w:val="TableGrid"/>
        <w:tblW w:w="0" w:type="auto"/>
        <w:tblLook w:val="04A0" w:firstRow="1" w:lastRow="0" w:firstColumn="1" w:lastColumn="0" w:noHBand="0" w:noVBand="1"/>
      </w:tblPr>
      <w:tblGrid>
        <w:gridCol w:w="2799"/>
        <w:gridCol w:w="2799"/>
        <w:gridCol w:w="2799"/>
      </w:tblGrid>
      <w:tr w:rsidR="000A36E4" w14:paraId="3B74D44B" w14:textId="77777777" w:rsidTr="000A36E4">
        <w:trPr>
          <w:trHeight w:val="518"/>
        </w:trPr>
        <w:tc>
          <w:tcPr>
            <w:tcW w:w="2799" w:type="dxa"/>
          </w:tcPr>
          <w:p w14:paraId="48EAA4B4" w14:textId="77777777" w:rsidR="000A36E4" w:rsidRDefault="000A36E4" w:rsidP="000A36E4">
            <w:pPr>
              <w:ind w:firstLine="0"/>
              <w:jc w:val="center"/>
            </w:pPr>
          </w:p>
        </w:tc>
        <w:tc>
          <w:tcPr>
            <w:tcW w:w="2799" w:type="dxa"/>
          </w:tcPr>
          <w:p w14:paraId="6CBD717E" w14:textId="5318F332" w:rsidR="000A36E4" w:rsidRDefault="000A36E4" w:rsidP="000A36E4">
            <w:pPr>
              <w:ind w:firstLine="0"/>
              <w:jc w:val="center"/>
            </w:pPr>
            <w:proofErr w:type="spellStart"/>
            <w:r>
              <w:t>Kt</w:t>
            </w:r>
            <w:proofErr w:type="spellEnd"/>
            <w:r>
              <w:t xml:space="preserve"> Persistence</w:t>
            </w:r>
          </w:p>
        </w:tc>
        <w:tc>
          <w:tcPr>
            <w:tcW w:w="2799" w:type="dxa"/>
          </w:tcPr>
          <w:p w14:paraId="3AB7E263" w14:textId="10CED35D" w:rsidR="000A36E4" w:rsidRDefault="000A36E4" w:rsidP="000A36E4">
            <w:pPr>
              <w:ind w:firstLine="0"/>
              <w:jc w:val="center"/>
            </w:pPr>
            <w:r>
              <w:t>ANN - Clear</w:t>
            </w:r>
          </w:p>
        </w:tc>
      </w:tr>
      <w:tr w:rsidR="000A36E4" w14:paraId="3894B98A" w14:textId="77777777" w:rsidTr="000A36E4">
        <w:trPr>
          <w:trHeight w:val="498"/>
        </w:trPr>
        <w:tc>
          <w:tcPr>
            <w:tcW w:w="2799" w:type="dxa"/>
          </w:tcPr>
          <w:p w14:paraId="0C012368" w14:textId="4B9F70B5" w:rsidR="000A36E4" w:rsidRDefault="000A36E4" w:rsidP="000A36E4">
            <w:pPr>
              <w:ind w:firstLine="0"/>
              <w:jc w:val="center"/>
            </w:pPr>
            <w:r>
              <w:t>15-Min</w:t>
            </w:r>
          </w:p>
        </w:tc>
        <w:tc>
          <w:tcPr>
            <w:tcW w:w="2799" w:type="dxa"/>
          </w:tcPr>
          <w:p w14:paraId="22B7FE50" w14:textId="5B30275D" w:rsidR="000A36E4" w:rsidRDefault="000A36E4" w:rsidP="000A36E4">
            <w:pPr>
              <w:ind w:firstLine="0"/>
              <w:jc w:val="center"/>
            </w:pPr>
            <w:r>
              <w:t>0.017</w:t>
            </w:r>
          </w:p>
        </w:tc>
        <w:tc>
          <w:tcPr>
            <w:tcW w:w="2799" w:type="dxa"/>
          </w:tcPr>
          <w:p w14:paraId="07A3F904" w14:textId="4E2E87B6" w:rsidR="000A36E4" w:rsidRDefault="000A36E4" w:rsidP="000A36E4">
            <w:pPr>
              <w:ind w:firstLine="0"/>
              <w:jc w:val="center"/>
            </w:pPr>
            <w:r>
              <w:t>0.035</w:t>
            </w:r>
          </w:p>
        </w:tc>
      </w:tr>
      <w:tr w:rsidR="000A36E4" w14:paraId="4A2F2AAD" w14:textId="77777777" w:rsidTr="000A36E4">
        <w:trPr>
          <w:trHeight w:val="498"/>
        </w:trPr>
        <w:tc>
          <w:tcPr>
            <w:tcW w:w="2799" w:type="dxa"/>
          </w:tcPr>
          <w:p w14:paraId="3C9EA79E" w14:textId="5737F76F" w:rsidR="000A36E4" w:rsidRDefault="000A36E4" w:rsidP="000A36E4">
            <w:pPr>
              <w:ind w:firstLine="0"/>
              <w:jc w:val="center"/>
            </w:pPr>
            <w:r>
              <w:t>60-Min</w:t>
            </w:r>
          </w:p>
        </w:tc>
        <w:tc>
          <w:tcPr>
            <w:tcW w:w="2799" w:type="dxa"/>
          </w:tcPr>
          <w:p w14:paraId="2D9132FD" w14:textId="4C681D29" w:rsidR="000A36E4" w:rsidRDefault="000A36E4" w:rsidP="000A36E4">
            <w:pPr>
              <w:ind w:firstLine="0"/>
              <w:jc w:val="center"/>
            </w:pPr>
            <w:r>
              <w:t>0.036</w:t>
            </w:r>
          </w:p>
        </w:tc>
        <w:tc>
          <w:tcPr>
            <w:tcW w:w="2799" w:type="dxa"/>
          </w:tcPr>
          <w:p w14:paraId="365DDE8A" w14:textId="6E96FCEC" w:rsidR="000A36E4" w:rsidRDefault="000A36E4" w:rsidP="000A36E4">
            <w:pPr>
              <w:ind w:firstLine="0"/>
              <w:jc w:val="center"/>
            </w:pPr>
            <w:r>
              <w:t>0.028</w:t>
            </w:r>
          </w:p>
        </w:tc>
      </w:tr>
      <w:tr w:rsidR="000A36E4" w14:paraId="1C5301C0" w14:textId="77777777" w:rsidTr="000A36E4">
        <w:trPr>
          <w:trHeight w:val="518"/>
        </w:trPr>
        <w:tc>
          <w:tcPr>
            <w:tcW w:w="2799" w:type="dxa"/>
          </w:tcPr>
          <w:p w14:paraId="0E8500D3" w14:textId="69E610C3" w:rsidR="000A36E4" w:rsidRDefault="000A36E4" w:rsidP="000A36E4">
            <w:pPr>
              <w:ind w:firstLine="0"/>
              <w:jc w:val="center"/>
            </w:pPr>
            <w:r>
              <w:t>120-Min</w:t>
            </w:r>
          </w:p>
        </w:tc>
        <w:tc>
          <w:tcPr>
            <w:tcW w:w="2799" w:type="dxa"/>
          </w:tcPr>
          <w:p w14:paraId="1F7D4731" w14:textId="2F0E6F6B" w:rsidR="000A36E4" w:rsidRDefault="000A36E4" w:rsidP="000A36E4">
            <w:pPr>
              <w:ind w:firstLine="0"/>
              <w:jc w:val="center"/>
            </w:pPr>
            <w:r>
              <w:t>0.055</w:t>
            </w:r>
          </w:p>
        </w:tc>
        <w:tc>
          <w:tcPr>
            <w:tcW w:w="2799" w:type="dxa"/>
          </w:tcPr>
          <w:p w14:paraId="2420E08B" w14:textId="597C9923" w:rsidR="000A36E4" w:rsidRDefault="000A36E4" w:rsidP="000A36E4">
            <w:pPr>
              <w:ind w:firstLine="0"/>
              <w:jc w:val="center"/>
            </w:pPr>
            <w:r>
              <w:t>0.041</w:t>
            </w:r>
          </w:p>
        </w:tc>
      </w:tr>
      <w:tr w:rsidR="000A36E4" w14:paraId="571A46EB" w14:textId="77777777" w:rsidTr="000A36E4">
        <w:trPr>
          <w:trHeight w:val="498"/>
        </w:trPr>
        <w:tc>
          <w:tcPr>
            <w:tcW w:w="2799" w:type="dxa"/>
          </w:tcPr>
          <w:p w14:paraId="3776E0A4" w14:textId="5B74FF99" w:rsidR="000A36E4" w:rsidRDefault="000A36E4" w:rsidP="000A36E4">
            <w:pPr>
              <w:ind w:firstLine="0"/>
              <w:jc w:val="center"/>
            </w:pPr>
            <w:r>
              <w:t>180-Min</w:t>
            </w:r>
          </w:p>
        </w:tc>
        <w:tc>
          <w:tcPr>
            <w:tcW w:w="2799" w:type="dxa"/>
          </w:tcPr>
          <w:p w14:paraId="6694CEC4" w14:textId="5D0101B3" w:rsidR="000A36E4" w:rsidRDefault="000A36E4" w:rsidP="000A36E4">
            <w:pPr>
              <w:ind w:firstLine="0"/>
              <w:jc w:val="center"/>
            </w:pPr>
            <w:r>
              <w:t>0.082</w:t>
            </w:r>
          </w:p>
        </w:tc>
        <w:tc>
          <w:tcPr>
            <w:tcW w:w="2799" w:type="dxa"/>
          </w:tcPr>
          <w:p w14:paraId="75CD1136" w14:textId="67A886A6" w:rsidR="000A36E4" w:rsidRDefault="000A36E4" w:rsidP="000A36E4">
            <w:pPr>
              <w:ind w:firstLine="0"/>
              <w:jc w:val="center"/>
            </w:pPr>
            <w:r>
              <w:t>0.057</w:t>
            </w:r>
          </w:p>
        </w:tc>
      </w:tr>
    </w:tbl>
    <w:p w14:paraId="0CD9FC77" w14:textId="77777777" w:rsidR="000A36E4" w:rsidRPr="000A36E4" w:rsidRDefault="000A36E4" w:rsidP="000A36E4">
      <w:pPr>
        <w:ind w:firstLine="0"/>
      </w:pPr>
    </w:p>
    <w:p w14:paraId="4ACCEB59" w14:textId="77777777" w:rsidR="00C87ABE" w:rsidRPr="00C87ABE" w:rsidRDefault="00C87ABE" w:rsidP="008737B5">
      <w:pPr>
        <w:ind w:firstLine="0"/>
        <w:jc w:val="both"/>
        <w:rPr>
          <w:noProof/>
          <w:sz w:val="24"/>
        </w:rPr>
      </w:pPr>
    </w:p>
    <w:p w14:paraId="0C9CE1AA" w14:textId="77777777" w:rsidR="00A543D0" w:rsidRDefault="00A543D0">
      <w:pPr>
        <w:tabs>
          <w:tab w:val="clear" w:pos="720"/>
        </w:tabs>
        <w:suppressAutoHyphens w:val="0"/>
        <w:spacing w:line="240" w:lineRule="auto"/>
        <w:ind w:firstLine="0"/>
        <w:rPr>
          <w:rFonts w:eastAsia="MS Mincho"/>
          <w:bCs/>
          <w:sz w:val="24"/>
        </w:rPr>
      </w:pPr>
      <w:r>
        <w:rPr>
          <w:sz w:val="24"/>
        </w:rPr>
        <w:br w:type="page"/>
      </w:r>
    </w:p>
    <w:p w14:paraId="3974A264" w14:textId="08FDD339" w:rsidR="008737B5" w:rsidRPr="00C87ABE" w:rsidRDefault="00842251" w:rsidP="008737B5">
      <w:pPr>
        <w:pStyle w:val="Caption"/>
        <w:rPr>
          <w:color w:val="auto"/>
          <w:sz w:val="24"/>
          <w:szCs w:val="24"/>
        </w:rPr>
      </w:pPr>
      <w:r w:rsidRPr="00C87ABE">
        <w:rPr>
          <w:color w:val="auto"/>
          <w:sz w:val="24"/>
          <w:szCs w:val="24"/>
        </w:rPr>
        <w:lastRenderedPageBreak/>
        <w:t>Table 6</w:t>
      </w:r>
      <w:r w:rsidR="008737B5" w:rsidRPr="00C87ABE">
        <w:rPr>
          <w:color w:val="auto"/>
          <w:sz w:val="24"/>
          <w:szCs w:val="24"/>
        </w:rPr>
        <w:t>. List of the MAEs for predicting the clearness index variability with the clearness index persistence, ANN-ALL, and RD-ANN-</w:t>
      </w:r>
      <w:proofErr w:type="spellStart"/>
      <w:r w:rsidR="008737B5" w:rsidRPr="00C87ABE">
        <w:rPr>
          <w:color w:val="auto"/>
          <w:sz w:val="24"/>
          <w:szCs w:val="24"/>
        </w:rPr>
        <w:t>GKtCC</w:t>
      </w:r>
      <w:proofErr w:type="spellEnd"/>
      <w:r w:rsidR="008737B5" w:rsidRPr="00C87ABE">
        <w:rPr>
          <w:color w:val="auto"/>
          <w:sz w:val="24"/>
          <w:szCs w:val="24"/>
        </w:rPr>
        <w:t xml:space="preserve"> methods trained to predict the variability</w:t>
      </w:r>
      <w:r w:rsidR="000957DC">
        <w:rPr>
          <w:color w:val="auto"/>
          <w:sz w:val="24"/>
          <w:szCs w:val="24"/>
        </w:rPr>
        <w:t xml:space="preserve"> for the SMUD sites</w:t>
      </w:r>
      <w:r w:rsidR="008737B5" w:rsidRPr="00C87ABE">
        <w:rPr>
          <w:color w:val="auto"/>
          <w:sz w:val="24"/>
          <w:szCs w:val="24"/>
        </w:rPr>
        <w:t>.</w:t>
      </w:r>
      <w:bookmarkEnd w:id="27"/>
    </w:p>
    <w:tbl>
      <w:tblPr>
        <w:tblW w:w="7282" w:type="dxa"/>
        <w:tblInd w:w="93" w:type="dxa"/>
        <w:tblLayout w:type="fixed"/>
        <w:tblLook w:val="04A0" w:firstRow="1" w:lastRow="0" w:firstColumn="1" w:lastColumn="0" w:noHBand="0" w:noVBand="1"/>
      </w:tblPr>
      <w:tblGrid>
        <w:gridCol w:w="2709"/>
        <w:gridCol w:w="1603"/>
        <w:gridCol w:w="2970"/>
      </w:tblGrid>
      <w:tr w:rsidR="008737B5" w:rsidRPr="00C87ABE" w14:paraId="09535A40" w14:textId="77777777" w:rsidTr="005920DE">
        <w:trPr>
          <w:trHeight w:val="300"/>
        </w:trPr>
        <w:tc>
          <w:tcPr>
            <w:tcW w:w="270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869AAA" w14:textId="77777777" w:rsidR="008737B5" w:rsidRPr="00C87ABE" w:rsidRDefault="008737B5" w:rsidP="005920DE">
            <w:pPr>
              <w:jc w:val="center"/>
              <w:rPr>
                <w:color w:val="000000"/>
                <w:sz w:val="24"/>
              </w:rPr>
            </w:pPr>
          </w:p>
        </w:tc>
        <w:tc>
          <w:tcPr>
            <w:tcW w:w="1603" w:type="dxa"/>
            <w:tcBorders>
              <w:top w:val="single" w:sz="4" w:space="0" w:color="auto"/>
              <w:left w:val="nil"/>
              <w:bottom w:val="single" w:sz="4" w:space="0" w:color="auto"/>
              <w:right w:val="single" w:sz="4" w:space="0" w:color="auto"/>
            </w:tcBorders>
            <w:shd w:val="clear" w:color="auto" w:fill="auto"/>
            <w:noWrap/>
            <w:vAlign w:val="bottom"/>
          </w:tcPr>
          <w:p w14:paraId="28E83869" w14:textId="77777777" w:rsidR="008737B5" w:rsidRPr="00C87ABE" w:rsidRDefault="008737B5" w:rsidP="005920DE">
            <w:pPr>
              <w:ind w:firstLine="0"/>
              <w:jc w:val="center"/>
              <w:rPr>
                <w:color w:val="000000"/>
                <w:sz w:val="24"/>
              </w:rPr>
            </w:pPr>
            <w:r w:rsidRPr="00C87ABE">
              <w:rPr>
                <w:color w:val="000000"/>
                <w:sz w:val="24"/>
              </w:rPr>
              <w:t>MAE</w:t>
            </w:r>
          </w:p>
        </w:tc>
        <w:tc>
          <w:tcPr>
            <w:tcW w:w="2970" w:type="dxa"/>
            <w:tcBorders>
              <w:top w:val="single" w:sz="4" w:space="0" w:color="auto"/>
              <w:left w:val="nil"/>
              <w:bottom w:val="single" w:sz="4" w:space="0" w:color="auto"/>
              <w:right w:val="single" w:sz="4" w:space="0" w:color="auto"/>
            </w:tcBorders>
            <w:shd w:val="clear" w:color="auto" w:fill="auto"/>
            <w:noWrap/>
            <w:vAlign w:val="bottom"/>
          </w:tcPr>
          <w:p w14:paraId="6FC8E703" w14:textId="77777777" w:rsidR="008737B5" w:rsidRPr="00C87ABE" w:rsidRDefault="008737B5" w:rsidP="005920DE">
            <w:pPr>
              <w:ind w:firstLine="0"/>
              <w:jc w:val="center"/>
              <w:rPr>
                <w:color w:val="000000"/>
                <w:sz w:val="24"/>
              </w:rPr>
            </w:pPr>
            <w:r w:rsidRPr="00C87ABE">
              <w:rPr>
                <w:color w:val="000000"/>
                <w:sz w:val="24"/>
              </w:rPr>
              <w:t>Percent Improvement</w:t>
            </w:r>
          </w:p>
        </w:tc>
      </w:tr>
      <w:tr w:rsidR="008737B5" w:rsidRPr="00C87ABE" w14:paraId="5C935934" w14:textId="77777777" w:rsidTr="005920DE">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14:paraId="5DB9FBFA" w14:textId="77777777" w:rsidR="008737B5" w:rsidRPr="00C87ABE" w:rsidRDefault="008737B5" w:rsidP="005920DE">
            <w:pPr>
              <w:ind w:firstLine="0"/>
              <w:jc w:val="center"/>
              <w:rPr>
                <w:color w:val="000000"/>
                <w:sz w:val="24"/>
              </w:rPr>
            </w:pPr>
            <w:proofErr w:type="spellStart"/>
            <w:r w:rsidRPr="00C87ABE">
              <w:rPr>
                <w:color w:val="000000"/>
                <w:sz w:val="24"/>
              </w:rPr>
              <w:t>Kt</w:t>
            </w:r>
            <w:proofErr w:type="spellEnd"/>
            <w:r w:rsidRPr="00C87ABE">
              <w:rPr>
                <w:color w:val="000000"/>
                <w:sz w:val="24"/>
              </w:rPr>
              <w:t xml:space="preserve"> Persistence</w:t>
            </w:r>
          </w:p>
        </w:tc>
        <w:tc>
          <w:tcPr>
            <w:tcW w:w="1603" w:type="dxa"/>
            <w:tcBorders>
              <w:top w:val="nil"/>
              <w:left w:val="nil"/>
              <w:bottom w:val="single" w:sz="4" w:space="0" w:color="auto"/>
              <w:right w:val="single" w:sz="4" w:space="0" w:color="auto"/>
            </w:tcBorders>
            <w:shd w:val="clear" w:color="auto" w:fill="auto"/>
            <w:noWrap/>
            <w:vAlign w:val="bottom"/>
          </w:tcPr>
          <w:p w14:paraId="43047E89" w14:textId="77777777" w:rsidR="008737B5" w:rsidRPr="00C87ABE" w:rsidRDefault="008737B5" w:rsidP="005920DE">
            <w:pPr>
              <w:ind w:firstLine="0"/>
              <w:jc w:val="center"/>
              <w:rPr>
                <w:color w:val="000000"/>
                <w:sz w:val="24"/>
              </w:rPr>
            </w:pPr>
            <w:r w:rsidRPr="00C87ABE">
              <w:rPr>
                <w:color w:val="000000"/>
                <w:sz w:val="24"/>
              </w:rPr>
              <w:t>0.068</w:t>
            </w:r>
          </w:p>
        </w:tc>
        <w:tc>
          <w:tcPr>
            <w:tcW w:w="2970" w:type="dxa"/>
            <w:tcBorders>
              <w:top w:val="nil"/>
              <w:left w:val="nil"/>
              <w:bottom w:val="single" w:sz="4" w:space="0" w:color="auto"/>
              <w:right w:val="single" w:sz="4" w:space="0" w:color="auto"/>
            </w:tcBorders>
            <w:shd w:val="clear" w:color="auto" w:fill="auto"/>
            <w:noWrap/>
            <w:vAlign w:val="bottom"/>
          </w:tcPr>
          <w:p w14:paraId="1E772A02" w14:textId="77777777" w:rsidR="008737B5" w:rsidRPr="00C87ABE" w:rsidRDefault="008737B5" w:rsidP="005920DE">
            <w:pPr>
              <w:ind w:firstLine="0"/>
              <w:jc w:val="center"/>
              <w:rPr>
                <w:color w:val="000000"/>
                <w:sz w:val="24"/>
              </w:rPr>
            </w:pPr>
            <w:r w:rsidRPr="00C87ABE">
              <w:rPr>
                <w:color w:val="000000"/>
                <w:sz w:val="24"/>
              </w:rPr>
              <w:t>N/A</w:t>
            </w:r>
          </w:p>
        </w:tc>
      </w:tr>
      <w:tr w:rsidR="008737B5" w:rsidRPr="00C87ABE" w14:paraId="27928D6F" w14:textId="77777777" w:rsidTr="005920DE">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14:paraId="1BD20EDD" w14:textId="77777777" w:rsidR="008737B5" w:rsidRPr="00C87ABE" w:rsidRDefault="008737B5" w:rsidP="005920DE">
            <w:pPr>
              <w:ind w:firstLine="0"/>
              <w:jc w:val="center"/>
              <w:rPr>
                <w:color w:val="000000"/>
                <w:sz w:val="24"/>
              </w:rPr>
            </w:pPr>
            <w:r w:rsidRPr="00C87ABE">
              <w:rPr>
                <w:color w:val="000000"/>
                <w:sz w:val="24"/>
              </w:rPr>
              <w:t>ANN-All</w:t>
            </w:r>
          </w:p>
        </w:tc>
        <w:tc>
          <w:tcPr>
            <w:tcW w:w="1603" w:type="dxa"/>
            <w:tcBorders>
              <w:top w:val="nil"/>
              <w:left w:val="nil"/>
              <w:bottom w:val="single" w:sz="4" w:space="0" w:color="auto"/>
              <w:right w:val="single" w:sz="4" w:space="0" w:color="auto"/>
            </w:tcBorders>
            <w:shd w:val="clear" w:color="auto" w:fill="auto"/>
            <w:noWrap/>
            <w:vAlign w:val="bottom"/>
          </w:tcPr>
          <w:p w14:paraId="6490E822" w14:textId="77777777" w:rsidR="008737B5" w:rsidRPr="00C87ABE" w:rsidRDefault="008737B5" w:rsidP="005920DE">
            <w:pPr>
              <w:ind w:firstLine="0"/>
              <w:jc w:val="center"/>
              <w:rPr>
                <w:color w:val="000000"/>
                <w:sz w:val="24"/>
              </w:rPr>
            </w:pPr>
            <w:r w:rsidRPr="00C87ABE">
              <w:rPr>
                <w:color w:val="000000"/>
                <w:sz w:val="24"/>
              </w:rPr>
              <w:t>0.059</w:t>
            </w:r>
          </w:p>
        </w:tc>
        <w:tc>
          <w:tcPr>
            <w:tcW w:w="2970" w:type="dxa"/>
            <w:tcBorders>
              <w:top w:val="nil"/>
              <w:left w:val="nil"/>
              <w:bottom w:val="single" w:sz="4" w:space="0" w:color="auto"/>
              <w:right w:val="single" w:sz="4" w:space="0" w:color="auto"/>
            </w:tcBorders>
            <w:shd w:val="clear" w:color="auto" w:fill="auto"/>
            <w:noWrap/>
            <w:vAlign w:val="bottom"/>
          </w:tcPr>
          <w:p w14:paraId="262654DE" w14:textId="77777777" w:rsidR="008737B5" w:rsidRPr="00C87ABE" w:rsidRDefault="008737B5" w:rsidP="005920DE">
            <w:pPr>
              <w:ind w:firstLine="0"/>
              <w:jc w:val="center"/>
              <w:rPr>
                <w:color w:val="000000"/>
                <w:sz w:val="24"/>
              </w:rPr>
            </w:pPr>
            <w:r w:rsidRPr="00C87ABE">
              <w:rPr>
                <w:color w:val="000000"/>
                <w:sz w:val="24"/>
              </w:rPr>
              <w:t>13.7%</w:t>
            </w:r>
          </w:p>
        </w:tc>
      </w:tr>
      <w:tr w:rsidR="008737B5" w:rsidRPr="00C87ABE" w14:paraId="6DFEDB0F" w14:textId="77777777" w:rsidTr="005920DE">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14:paraId="3C48AB6C" w14:textId="77777777" w:rsidR="008737B5" w:rsidRPr="00C87ABE" w:rsidRDefault="008737B5" w:rsidP="005920DE">
            <w:pPr>
              <w:ind w:firstLine="0"/>
              <w:jc w:val="center"/>
              <w:rPr>
                <w:color w:val="000000"/>
                <w:sz w:val="24"/>
              </w:rPr>
            </w:pPr>
            <w:r w:rsidRPr="00C87ABE">
              <w:rPr>
                <w:color w:val="000000"/>
                <w:sz w:val="24"/>
              </w:rPr>
              <w:t>RD-ANN-</w:t>
            </w:r>
            <w:proofErr w:type="spellStart"/>
            <w:r w:rsidRPr="00C87ABE">
              <w:rPr>
                <w:color w:val="000000"/>
                <w:sz w:val="24"/>
              </w:rPr>
              <w:t>GKtCC</w:t>
            </w:r>
            <w:proofErr w:type="spellEnd"/>
          </w:p>
        </w:tc>
        <w:tc>
          <w:tcPr>
            <w:tcW w:w="1603" w:type="dxa"/>
            <w:tcBorders>
              <w:top w:val="nil"/>
              <w:left w:val="nil"/>
              <w:bottom w:val="single" w:sz="4" w:space="0" w:color="auto"/>
              <w:right w:val="single" w:sz="4" w:space="0" w:color="auto"/>
            </w:tcBorders>
            <w:shd w:val="clear" w:color="auto" w:fill="auto"/>
            <w:noWrap/>
            <w:vAlign w:val="bottom"/>
          </w:tcPr>
          <w:p w14:paraId="4AE52EBE" w14:textId="77777777" w:rsidR="008737B5" w:rsidRPr="00C87ABE" w:rsidRDefault="008737B5" w:rsidP="005920DE">
            <w:pPr>
              <w:ind w:firstLine="0"/>
              <w:jc w:val="center"/>
              <w:rPr>
                <w:color w:val="000000"/>
                <w:sz w:val="24"/>
              </w:rPr>
            </w:pPr>
            <w:r w:rsidRPr="00C87ABE">
              <w:rPr>
                <w:color w:val="000000"/>
                <w:sz w:val="24"/>
              </w:rPr>
              <w:t>0.058</w:t>
            </w:r>
          </w:p>
        </w:tc>
        <w:tc>
          <w:tcPr>
            <w:tcW w:w="2970" w:type="dxa"/>
            <w:tcBorders>
              <w:top w:val="nil"/>
              <w:left w:val="nil"/>
              <w:bottom w:val="single" w:sz="4" w:space="0" w:color="auto"/>
              <w:right w:val="single" w:sz="4" w:space="0" w:color="auto"/>
            </w:tcBorders>
            <w:shd w:val="clear" w:color="auto" w:fill="auto"/>
            <w:noWrap/>
            <w:vAlign w:val="bottom"/>
          </w:tcPr>
          <w:p w14:paraId="553F0710" w14:textId="77777777" w:rsidR="008737B5" w:rsidRPr="00C87ABE" w:rsidRDefault="008737B5" w:rsidP="005920DE">
            <w:pPr>
              <w:ind w:firstLine="0"/>
              <w:jc w:val="center"/>
              <w:rPr>
                <w:color w:val="000000"/>
                <w:sz w:val="24"/>
              </w:rPr>
            </w:pPr>
            <w:r w:rsidRPr="00C87ABE">
              <w:rPr>
                <w:color w:val="000000"/>
                <w:sz w:val="24"/>
              </w:rPr>
              <w:t>18.6%</w:t>
            </w:r>
          </w:p>
        </w:tc>
      </w:tr>
    </w:tbl>
    <w:p w14:paraId="6526BE04" w14:textId="6D8F1865" w:rsidR="00A53EAA" w:rsidRDefault="00A53EAA" w:rsidP="008737B5">
      <w:pPr>
        <w:pStyle w:val="ColorfulList-Accent11"/>
        <w:spacing w:line="480" w:lineRule="auto"/>
        <w:ind w:left="0" w:firstLine="720"/>
        <w:rPr>
          <w:rFonts w:ascii="Times New Roman" w:hAnsi="Times New Roman"/>
        </w:rPr>
      </w:pPr>
    </w:p>
    <w:p w14:paraId="195F06A8" w14:textId="1C589EF8" w:rsidR="008737B5" w:rsidRPr="00C87ABE" w:rsidRDefault="00A53EAA" w:rsidP="009779D3">
      <w:pPr>
        <w:tabs>
          <w:tab w:val="clear" w:pos="720"/>
        </w:tabs>
        <w:suppressAutoHyphens w:val="0"/>
        <w:spacing w:line="240" w:lineRule="auto"/>
        <w:ind w:firstLine="0"/>
      </w:pPr>
      <w:r>
        <w:br w:type="page"/>
      </w:r>
    </w:p>
    <w:p w14:paraId="1A548B21" w14:textId="77777777" w:rsidR="008737B5" w:rsidRPr="00C87ABE" w:rsidRDefault="008737B5" w:rsidP="008737B5">
      <w:pPr>
        <w:keepNext/>
        <w:ind w:firstLine="0"/>
        <w:jc w:val="both"/>
        <w:rPr>
          <w:sz w:val="24"/>
        </w:rPr>
      </w:pPr>
      <w:r w:rsidRPr="00C87ABE">
        <w:rPr>
          <w:noProof/>
          <w:sz w:val="24"/>
        </w:rPr>
        <w:lastRenderedPageBreak/>
        <w:drawing>
          <wp:inline distT="0" distB="0" distL="0" distR="0" wp14:anchorId="31B4EC40" wp14:editId="04D83004">
            <wp:extent cx="5380355" cy="3599815"/>
            <wp:effectExtent l="0" t="0" r="4445" b="698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80355" cy="3599815"/>
                    </a:xfrm>
                    <a:prstGeom prst="rect">
                      <a:avLst/>
                    </a:prstGeom>
                    <a:noFill/>
                    <a:ln>
                      <a:noFill/>
                    </a:ln>
                  </pic:spPr>
                </pic:pic>
              </a:graphicData>
            </a:graphic>
          </wp:inline>
        </w:drawing>
      </w:r>
    </w:p>
    <w:p w14:paraId="386A2524" w14:textId="75036AF3" w:rsidR="008737B5" w:rsidRPr="00C87ABE" w:rsidRDefault="00842251" w:rsidP="008737B5">
      <w:pPr>
        <w:pStyle w:val="Caption"/>
        <w:jc w:val="both"/>
        <w:rPr>
          <w:color w:val="auto"/>
          <w:sz w:val="24"/>
          <w:szCs w:val="24"/>
        </w:rPr>
      </w:pPr>
      <w:bookmarkStart w:id="28" w:name="_Toc300934027"/>
      <w:r w:rsidRPr="00C87ABE">
        <w:rPr>
          <w:color w:val="auto"/>
          <w:sz w:val="24"/>
          <w:szCs w:val="24"/>
        </w:rPr>
        <w:t>Figure 1</w:t>
      </w:r>
      <w:r w:rsidR="008737B5" w:rsidRPr="00C87ABE">
        <w:rPr>
          <w:color w:val="auto"/>
          <w:sz w:val="24"/>
          <w:szCs w:val="24"/>
        </w:rPr>
        <w:t>. Locations of SMUD irradiance observations, shown in blue triangles, and the three nearest METAR surface weather observations, shown in red X's.</w:t>
      </w:r>
      <w:bookmarkEnd w:id="28"/>
    </w:p>
    <w:p w14:paraId="5B1F99BD" w14:textId="77777777" w:rsidR="008737B5" w:rsidRPr="00C87ABE" w:rsidRDefault="008737B5" w:rsidP="00C87ABE">
      <w:pPr>
        <w:keepNext/>
        <w:ind w:firstLine="0"/>
        <w:jc w:val="both"/>
        <w:rPr>
          <w:sz w:val="24"/>
        </w:rPr>
      </w:pPr>
      <w:r w:rsidRPr="00C87ABE">
        <w:rPr>
          <w:noProof/>
          <w:sz w:val="24"/>
        </w:rPr>
        <w:lastRenderedPageBreak/>
        <w:drawing>
          <wp:inline distT="0" distB="0" distL="0" distR="0" wp14:anchorId="74B6B7FB" wp14:editId="20BD10AC">
            <wp:extent cx="5293995" cy="35134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93995" cy="3513455"/>
                    </a:xfrm>
                    <a:prstGeom prst="rect">
                      <a:avLst/>
                    </a:prstGeom>
                    <a:noFill/>
                    <a:ln>
                      <a:noFill/>
                    </a:ln>
                  </pic:spPr>
                </pic:pic>
              </a:graphicData>
            </a:graphic>
          </wp:inline>
        </w:drawing>
      </w:r>
    </w:p>
    <w:p w14:paraId="6659C252" w14:textId="66466E77" w:rsidR="008737B5" w:rsidRPr="00C87ABE" w:rsidRDefault="00842251" w:rsidP="008737B5">
      <w:pPr>
        <w:pStyle w:val="Caption"/>
        <w:jc w:val="both"/>
        <w:rPr>
          <w:color w:val="auto"/>
          <w:sz w:val="24"/>
          <w:szCs w:val="24"/>
        </w:rPr>
      </w:pPr>
      <w:bookmarkStart w:id="29" w:name="_Toc300934028"/>
      <w:r w:rsidRPr="00C87ABE">
        <w:rPr>
          <w:color w:val="auto"/>
          <w:sz w:val="24"/>
          <w:szCs w:val="24"/>
        </w:rPr>
        <w:t>Figure 2</w:t>
      </w:r>
      <w:r w:rsidR="008737B5" w:rsidRPr="00C87ABE">
        <w:rPr>
          <w:color w:val="auto"/>
          <w:sz w:val="24"/>
          <w:szCs w:val="24"/>
        </w:rPr>
        <w:t>. Locations of BNL irradiance observation site, shown as a blue triangle, and the three nearest METAR surface weather observations, shown in red X's.</w:t>
      </w:r>
      <w:bookmarkEnd w:id="29"/>
    </w:p>
    <w:p w14:paraId="1C80BBC0" w14:textId="77777777" w:rsidR="008737B5" w:rsidRPr="00C87ABE" w:rsidRDefault="008737B5" w:rsidP="008737B5">
      <w:pPr>
        <w:keepNext/>
        <w:ind w:firstLine="0"/>
        <w:jc w:val="both"/>
        <w:rPr>
          <w:sz w:val="24"/>
        </w:rPr>
      </w:pPr>
      <w:r w:rsidRPr="00C87ABE">
        <w:rPr>
          <w:noProof/>
          <w:sz w:val="24"/>
        </w:rPr>
        <w:lastRenderedPageBreak/>
        <w:drawing>
          <wp:inline distT="0" distB="0" distL="0" distR="0" wp14:anchorId="10354CF6" wp14:editId="3207A5FD">
            <wp:extent cx="5208101" cy="4109720"/>
            <wp:effectExtent l="0" t="0" r="0" b="5080"/>
            <wp:docPr id="43" name="Picture 43" descr="RDANN_GOES_ProcessDesig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RDANN_GOES_ProcessDesign-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08101" cy="4109720"/>
                    </a:xfrm>
                    <a:prstGeom prst="rect">
                      <a:avLst/>
                    </a:prstGeom>
                    <a:noFill/>
                    <a:ln>
                      <a:noFill/>
                    </a:ln>
                  </pic:spPr>
                </pic:pic>
              </a:graphicData>
            </a:graphic>
          </wp:inline>
        </w:drawing>
      </w:r>
    </w:p>
    <w:p w14:paraId="11AF872D" w14:textId="00FE8A2F" w:rsidR="008737B5" w:rsidRPr="00C87ABE" w:rsidRDefault="00842251" w:rsidP="008737B5">
      <w:pPr>
        <w:pStyle w:val="Caption"/>
        <w:jc w:val="both"/>
        <w:rPr>
          <w:color w:val="auto"/>
          <w:sz w:val="24"/>
          <w:szCs w:val="24"/>
        </w:rPr>
      </w:pPr>
      <w:bookmarkStart w:id="30" w:name="_Toc300934029"/>
      <w:r w:rsidRPr="00C87ABE">
        <w:rPr>
          <w:color w:val="auto"/>
          <w:sz w:val="24"/>
          <w:szCs w:val="24"/>
        </w:rPr>
        <w:t>Figure 3</w:t>
      </w:r>
      <w:r w:rsidR="008737B5" w:rsidRPr="00C87ABE">
        <w:rPr>
          <w:color w:val="auto"/>
          <w:sz w:val="24"/>
          <w:szCs w:val="24"/>
        </w:rPr>
        <w:t>. Overall process design for our regime dependent prediction technique and the comparison techniques.</w:t>
      </w:r>
      <w:bookmarkEnd w:id="30"/>
    </w:p>
    <w:p w14:paraId="15E17555" w14:textId="77777777" w:rsidR="008737B5" w:rsidRPr="00C87ABE" w:rsidRDefault="008737B5" w:rsidP="008737B5">
      <w:pPr>
        <w:keepNext/>
        <w:ind w:firstLine="0"/>
        <w:jc w:val="both"/>
        <w:rPr>
          <w:sz w:val="24"/>
        </w:rPr>
      </w:pPr>
      <w:r w:rsidRPr="00C87ABE">
        <w:rPr>
          <w:noProof/>
          <w:sz w:val="24"/>
        </w:rPr>
        <w:lastRenderedPageBreak/>
        <w:drawing>
          <wp:inline distT="0" distB="0" distL="0" distR="0" wp14:anchorId="1ED0C8A7" wp14:editId="4AAE6584">
            <wp:extent cx="5486400" cy="2733675"/>
            <wp:effectExtent l="0" t="0" r="0" b="9525"/>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2733675"/>
                    </a:xfrm>
                    <a:prstGeom prst="rect">
                      <a:avLst/>
                    </a:prstGeom>
                    <a:noFill/>
                    <a:ln>
                      <a:noFill/>
                    </a:ln>
                  </pic:spPr>
                </pic:pic>
              </a:graphicData>
            </a:graphic>
          </wp:inline>
        </w:drawing>
      </w:r>
    </w:p>
    <w:p w14:paraId="055F0943" w14:textId="518DC17F" w:rsidR="008737B5" w:rsidRPr="00C87ABE" w:rsidRDefault="00842251" w:rsidP="008737B5">
      <w:pPr>
        <w:pStyle w:val="Caption"/>
        <w:jc w:val="both"/>
        <w:rPr>
          <w:color w:val="auto"/>
          <w:sz w:val="24"/>
          <w:szCs w:val="24"/>
        </w:rPr>
      </w:pPr>
      <w:bookmarkStart w:id="31" w:name="_Toc300934030"/>
      <w:r w:rsidRPr="00C87ABE">
        <w:rPr>
          <w:color w:val="auto"/>
          <w:sz w:val="24"/>
          <w:szCs w:val="24"/>
        </w:rPr>
        <w:t>Figure 4</w:t>
      </w:r>
      <w:r w:rsidR="008737B5" w:rsidRPr="00C87ABE">
        <w:rPr>
          <w:color w:val="auto"/>
          <w:sz w:val="24"/>
          <w:szCs w:val="24"/>
        </w:rPr>
        <w:t>. Sensitivity study results for the optimal number of training epochs of the ANN for the RDANN at SMUD sites for the 180-min lead-time.</w:t>
      </w:r>
      <w:bookmarkEnd w:id="31"/>
    </w:p>
    <w:p w14:paraId="29F2F87A" w14:textId="77777777" w:rsidR="008737B5" w:rsidRPr="00C87ABE" w:rsidRDefault="008737B5" w:rsidP="008737B5">
      <w:pPr>
        <w:keepNext/>
        <w:ind w:firstLine="0"/>
        <w:jc w:val="both"/>
        <w:rPr>
          <w:sz w:val="24"/>
        </w:rPr>
      </w:pPr>
      <w:r w:rsidRPr="00C87ABE">
        <w:rPr>
          <w:noProof/>
          <w:sz w:val="24"/>
        </w:rPr>
        <w:drawing>
          <wp:inline distT="0" distB="0" distL="0" distR="0" wp14:anchorId="1F79514C" wp14:editId="0C308A02">
            <wp:extent cx="5476875" cy="2983865"/>
            <wp:effectExtent l="0" t="0" r="9525" b="0"/>
            <wp:docPr id="16" name="Picture 16" descr="MAE_SM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E_SMU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76875" cy="2983865"/>
                    </a:xfrm>
                    <a:prstGeom prst="rect">
                      <a:avLst/>
                    </a:prstGeom>
                    <a:noFill/>
                    <a:ln>
                      <a:noFill/>
                    </a:ln>
                  </pic:spPr>
                </pic:pic>
              </a:graphicData>
            </a:graphic>
          </wp:inline>
        </w:drawing>
      </w:r>
    </w:p>
    <w:p w14:paraId="69332F71" w14:textId="40A1E18E" w:rsidR="008737B5" w:rsidRPr="00C87ABE" w:rsidRDefault="00842251" w:rsidP="008737B5">
      <w:pPr>
        <w:pStyle w:val="Caption"/>
        <w:jc w:val="both"/>
        <w:rPr>
          <w:color w:val="auto"/>
          <w:sz w:val="24"/>
          <w:szCs w:val="24"/>
        </w:rPr>
      </w:pPr>
      <w:bookmarkStart w:id="32" w:name="_Toc300934031"/>
      <w:r w:rsidRPr="00C87ABE">
        <w:rPr>
          <w:color w:val="auto"/>
          <w:sz w:val="24"/>
          <w:szCs w:val="24"/>
        </w:rPr>
        <w:t>Figure 5</w:t>
      </w:r>
      <w:r w:rsidR="008737B5" w:rsidRPr="00C87ABE">
        <w:rPr>
          <w:color w:val="auto"/>
          <w:sz w:val="24"/>
          <w:szCs w:val="24"/>
        </w:rPr>
        <w:t xml:space="preserve">. </w:t>
      </w:r>
      <w:r w:rsidR="00405DD8">
        <w:rPr>
          <w:color w:val="auto"/>
          <w:sz w:val="24"/>
          <w:szCs w:val="24"/>
        </w:rPr>
        <w:t>MAE as a function of lead time</w:t>
      </w:r>
      <w:r w:rsidR="00405DD8" w:rsidRPr="00C87ABE">
        <w:rPr>
          <w:color w:val="auto"/>
          <w:sz w:val="24"/>
          <w:szCs w:val="24"/>
        </w:rPr>
        <w:t xml:space="preserve"> </w:t>
      </w:r>
      <w:r w:rsidR="008737B5" w:rsidRPr="00C87ABE">
        <w:rPr>
          <w:color w:val="auto"/>
          <w:sz w:val="24"/>
          <w:szCs w:val="24"/>
        </w:rPr>
        <w:t>for all methods o</w:t>
      </w:r>
      <w:r w:rsidR="00405DD8">
        <w:rPr>
          <w:color w:val="auto"/>
          <w:sz w:val="24"/>
          <w:szCs w:val="24"/>
        </w:rPr>
        <w:t>f</w:t>
      </w:r>
      <w:r w:rsidR="008737B5" w:rsidRPr="00C87ABE">
        <w:rPr>
          <w:color w:val="auto"/>
          <w:sz w:val="24"/>
          <w:szCs w:val="24"/>
        </w:rPr>
        <w:t xml:space="preserve"> the satellite determined cloudy instances</w:t>
      </w:r>
      <w:r w:rsidR="00405DD8">
        <w:rPr>
          <w:color w:val="auto"/>
          <w:sz w:val="24"/>
          <w:szCs w:val="24"/>
        </w:rPr>
        <w:t xml:space="preserve"> for the SMUD site</w:t>
      </w:r>
      <w:r w:rsidR="008737B5" w:rsidRPr="00C87ABE">
        <w:rPr>
          <w:color w:val="auto"/>
          <w:sz w:val="24"/>
          <w:szCs w:val="24"/>
        </w:rPr>
        <w:t>.  The method that performs best in the majority of the forecast lead-times in the RD-ANN-</w:t>
      </w:r>
      <w:proofErr w:type="spellStart"/>
      <w:r w:rsidR="008737B5" w:rsidRPr="00C87ABE">
        <w:rPr>
          <w:color w:val="auto"/>
          <w:sz w:val="24"/>
          <w:szCs w:val="24"/>
        </w:rPr>
        <w:t>GKtCC</w:t>
      </w:r>
      <w:proofErr w:type="spellEnd"/>
      <w:r w:rsidR="008737B5" w:rsidRPr="00C87ABE">
        <w:rPr>
          <w:color w:val="auto"/>
          <w:sz w:val="24"/>
          <w:szCs w:val="24"/>
        </w:rPr>
        <w:t xml:space="preserve"> method.</w:t>
      </w:r>
      <w:bookmarkEnd w:id="32"/>
    </w:p>
    <w:p w14:paraId="6BAFFB0F" w14:textId="77777777" w:rsidR="008737B5" w:rsidRPr="00C87ABE" w:rsidRDefault="008737B5" w:rsidP="008737B5">
      <w:pPr>
        <w:keepNext/>
        <w:ind w:firstLine="0"/>
        <w:jc w:val="both"/>
        <w:rPr>
          <w:sz w:val="24"/>
        </w:rPr>
      </w:pPr>
      <w:r w:rsidRPr="00C87ABE">
        <w:rPr>
          <w:noProof/>
          <w:sz w:val="24"/>
        </w:rPr>
        <w:lastRenderedPageBreak/>
        <w:drawing>
          <wp:inline distT="0" distB="0" distL="0" distR="0" wp14:anchorId="3D2B2773" wp14:editId="3B952D83">
            <wp:extent cx="5476875" cy="2983865"/>
            <wp:effectExtent l="0" t="0" r="9525" b="0"/>
            <wp:docPr id="19" name="Picture 19" descr="PercentImproveSM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ercentImproveSMU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76875" cy="2983865"/>
                    </a:xfrm>
                    <a:prstGeom prst="rect">
                      <a:avLst/>
                    </a:prstGeom>
                    <a:noFill/>
                    <a:ln>
                      <a:noFill/>
                    </a:ln>
                  </pic:spPr>
                </pic:pic>
              </a:graphicData>
            </a:graphic>
          </wp:inline>
        </w:drawing>
      </w:r>
    </w:p>
    <w:p w14:paraId="593F55B3" w14:textId="1843719D" w:rsidR="008737B5" w:rsidRPr="00C87ABE" w:rsidRDefault="00842251" w:rsidP="008737B5">
      <w:pPr>
        <w:pStyle w:val="Caption"/>
        <w:jc w:val="both"/>
        <w:rPr>
          <w:color w:val="auto"/>
          <w:sz w:val="24"/>
          <w:szCs w:val="24"/>
        </w:rPr>
      </w:pPr>
      <w:bookmarkStart w:id="33" w:name="_Toc300934032"/>
      <w:r w:rsidRPr="00C87ABE">
        <w:rPr>
          <w:color w:val="auto"/>
          <w:sz w:val="24"/>
          <w:szCs w:val="24"/>
        </w:rPr>
        <w:t>Figure 6</w:t>
      </w:r>
      <w:r w:rsidR="008737B5" w:rsidRPr="00C87ABE">
        <w:rPr>
          <w:color w:val="auto"/>
          <w:sz w:val="24"/>
          <w:szCs w:val="24"/>
        </w:rPr>
        <w:t>. Percent improvement over the clearness index persistence forecasts for all methods on the satellite determined cloudy instances.</w:t>
      </w:r>
      <w:bookmarkEnd w:id="33"/>
      <w:r w:rsidR="008737B5" w:rsidRPr="00C87ABE">
        <w:rPr>
          <w:color w:val="auto"/>
          <w:sz w:val="24"/>
          <w:szCs w:val="24"/>
        </w:rPr>
        <w:t xml:space="preserve">  </w:t>
      </w:r>
    </w:p>
    <w:p w14:paraId="6DC7998D" w14:textId="77777777" w:rsidR="008737B5" w:rsidRPr="00C87ABE" w:rsidRDefault="008737B5" w:rsidP="008737B5">
      <w:pPr>
        <w:keepNext/>
        <w:ind w:firstLine="0"/>
        <w:jc w:val="both"/>
        <w:rPr>
          <w:sz w:val="24"/>
        </w:rPr>
      </w:pPr>
      <w:r w:rsidRPr="00C87ABE">
        <w:rPr>
          <w:noProof/>
          <w:sz w:val="24"/>
        </w:rPr>
        <w:drawing>
          <wp:inline distT="0" distB="0" distL="0" distR="0" wp14:anchorId="64FFC00C" wp14:editId="2E92D02D">
            <wp:extent cx="5476875" cy="2981514"/>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DANNBNL"/>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5476875" cy="2981514"/>
                    </a:xfrm>
                    <a:prstGeom prst="rect">
                      <a:avLst/>
                    </a:prstGeom>
                    <a:noFill/>
                    <a:ln>
                      <a:noFill/>
                    </a:ln>
                  </pic:spPr>
                </pic:pic>
              </a:graphicData>
            </a:graphic>
          </wp:inline>
        </w:drawing>
      </w:r>
    </w:p>
    <w:p w14:paraId="1D5ABB26" w14:textId="43C6B27D" w:rsidR="008737B5" w:rsidRPr="00C87ABE" w:rsidRDefault="00842251" w:rsidP="008737B5">
      <w:pPr>
        <w:pStyle w:val="Caption"/>
        <w:jc w:val="both"/>
        <w:rPr>
          <w:sz w:val="24"/>
          <w:szCs w:val="24"/>
        </w:rPr>
      </w:pPr>
      <w:bookmarkStart w:id="34" w:name="_Toc300934033"/>
      <w:r w:rsidRPr="00C87ABE">
        <w:rPr>
          <w:color w:val="auto"/>
          <w:sz w:val="24"/>
          <w:szCs w:val="24"/>
        </w:rPr>
        <w:t>Figure 7</w:t>
      </w:r>
      <w:r w:rsidR="008737B5" w:rsidRPr="00C87ABE">
        <w:rPr>
          <w:color w:val="auto"/>
          <w:sz w:val="24"/>
          <w:szCs w:val="24"/>
        </w:rPr>
        <w:t>. Results for all methods on the satellite determined cloudy instances for the BNL forecast site.  The method that performs best in the majority of the forecast lead-times is the clearness index persistence method.</w:t>
      </w:r>
      <w:bookmarkEnd w:id="34"/>
    </w:p>
    <w:p w14:paraId="65A8625C" w14:textId="18324417" w:rsidR="000C076C" w:rsidRPr="00C87ABE" w:rsidRDefault="000C076C" w:rsidP="000F0115">
      <w:pPr>
        <w:tabs>
          <w:tab w:val="clear" w:pos="720"/>
        </w:tabs>
        <w:suppressAutoHyphens w:val="0"/>
        <w:spacing w:line="240" w:lineRule="auto"/>
        <w:ind w:firstLine="0"/>
        <w:rPr>
          <w:sz w:val="24"/>
        </w:rPr>
      </w:pPr>
    </w:p>
    <w:sectPr w:rsidR="000C076C" w:rsidRPr="00C87ABE" w:rsidSect="00C87ABE">
      <w:headerReference w:type="default" r:id="rId30"/>
      <w:pgSz w:w="12240" w:h="15840" w:code="1"/>
      <w:pgMar w:top="1872" w:right="1440" w:bottom="1440" w:left="2160" w:header="1440" w:footer="1008" w:gutter="0"/>
      <w:lnNumType w:countBy="1" w:restart="continuou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F2C585" w14:textId="77777777" w:rsidR="007B11AC" w:rsidRDefault="007B11AC">
      <w:pPr>
        <w:spacing w:line="240" w:lineRule="auto"/>
      </w:pPr>
      <w:r>
        <w:separator/>
      </w:r>
    </w:p>
  </w:endnote>
  <w:endnote w:type="continuationSeparator" w:id="0">
    <w:p w14:paraId="09808158" w14:textId="77777777" w:rsidR="007B11AC" w:rsidRDefault="007B11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 w:name="Lucida Grande">
    <w:altName w:val="Franklin Gothic Medium Cond"/>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9C7FC" w14:textId="77777777" w:rsidR="00AC3476" w:rsidRDefault="00AC347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34055" w14:textId="77777777" w:rsidR="00AC3476" w:rsidRDefault="00AC347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305772" w14:textId="77777777" w:rsidR="00AC3476" w:rsidRDefault="00AC34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2023FC" w14:textId="77777777" w:rsidR="007B11AC" w:rsidRDefault="007B11AC">
      <w:pPr>
        <w:spacing w:line="240" w:lineRule="auto"/>
      </w:pPr>
      <w:r>
        <w:separator/>
      </w:r>
    </w:p>
  </w:footnote>
  <w:footnote w:type="continuationSeparator" w:id="0">
    <w:p w14:paraId="7B8BA3E0" w14:textId="77777777" w:rsidR="007B11AC" w:rsidRDefault="007B11A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DA467" w14:textId="77777777" w:rsidR="00AC3476" w:rsidRDefault="00AC347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B8F7DC" w14:textId="77777777" w:rsidR="00AC3476" w:rsidRDefault="00AC347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3C96A0" w14:textId="77777777" w:rsidR="00AC3476" w:rsidRDefault="00AC3476">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75EC0" w14:textId="77777777" w:rsidR="00AC3476" w:rsidRDefault="00AC3476">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0384C" w14:textId="77777777" w:rsidR="00AC3476" w:rsidRDefault="00AC3476">
    <w:pPr>
      <w:pStyle w:val="Header"/>
      <w:jc w:val="right"/>
    </w:pPr>
    <w:r>
      <w:rPr>
        <w:rStyle w:val="PageNumber"/>
      </w:rPr>
      <w:fldChar w:fldCharType="begin"/>
    </w:r>
    <w:r>
      <w:rPr>
        <w:rStyle w:val="PageNumber"/>
      </w:rPr>
      <w:instrText xml:space="preserve"> PAGE </w:instrText>
    </w:r>
    <w:r>
      <w:rPr>
        <w:rStyle w:val="PageNumber"/>
      </w:rPr>
      <w:fldChar w:fldCharType="separate"/>
    </w:r>
    <w:r w:rsidR="00126158">
      <w:rPr>
        <w:rStyle w:val="PageNumber"/>
        <w:noProof/>
      </w:rPr>
      <w:t>20</w:t>
    </w:r>
    <w:r>
      <w:rPr>
        <w:rStyle w:val="PageNumber"/>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45E5B1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FD6997"/>
    <w:multiLevelType w:val="multilevel"/>
    <w:tmpl w:val="C218C58C"/>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95213C"/>
    <w:multiLevelType w:val="hybridMultilevel"/>
    <w:tmpl w:val="5464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E9315B"/>
    <w:multiLevelType w:val="multilevel"/>
    <w:tmpl w:val="C218C58C"/>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AFC0E4E"/>
    <w:multiLevelType w:val="hybridMultilevel"/>
    <w:tmpl w:val="ED686BFE"/>
    <w:lvl w:ilvl="0" w:tplc="01A0B896">
      <w:start w:val="1"/>
      <w:numFmt w:val="bullet"/>
      <w:lvlText w:val=""/>
      <w:lvlJc w:val="left"/>
      <w:pPr>
        <w:tabs>
          <w:tab w:val="num" w:pos="1440"/>
        </w:tabs>
        <w:ind w:left="1728" w:hanging="288"/>
      </w:pPr>
      <w:rPr>
        <w:rFonts w:ascii="Symbol" w:hAnsi="Symbol" w:hint="default"/>
      </w:rPr>
    </w:lvl>
    <w:lvl w:ilvl="1" w:tplc="04090003" w:tentative="1">
      <w:start w:val="1"/>
      <w:numFmt w:val="bullet"/>
      <w:lvlText w:val="o"/>
      <w:lvlJc w:val="left"/>
      <w:pPr>
        <w:tabs>
          <w:tab w:val="num" w:pos="2664"/>
        </w:tabs>
        <w:ind w:left="2664" w:hanging="360"/>
      </w:pPr>
      <w:rPr>
        <w:rFonts w:ascii="Courier New" w:hAnsi="Courier New" w:cs="Courier New"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cs="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cs="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5" w15:restartNumberingAfterBreak="0">
    <w:nsid w:val="197A1F5D"/>
    <w:multiLevelType w:val="multilevel"/>
    <w:tmpl w:val="C186D15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1E0309E0"/>
    <w:multiLevelType w:val="multilevel"/>
    <w:tmpl w:val="ED686BFE"/>
    <w:lvl w:ilvl="0">
      <w:start w:val="1"/>
      <w:numFmt w:val="bullet"/>
      <w:lvlText w:val=""/>
      <w:lvlJc w:val="left"/>
      <w:pPr>
        <w:tabs>
          <w:tab w:val="num" w:pos="1440"/>
        </w:tabs>
        <w:ind w:left="1728" w:hanging="288"/>
      </w:pPr>
      <w:rPr>
        <w:rFonts w:ascii="Symbol" w:hAnsi="Symbol" w:hint="default"/>
      </w:rPr>
    </w:lvl>
    <w:lvl w:ilvl="1">
      <w:start w:val="1"/>
      <w:numFmt w:val="bullet"/>
      <w:lvlText w:val="o"/>
      <w:lvlJc w:val="left"/>
      <w:pPr>
        <w:tabs>
          <w:tab w:val="num" w:pos="2664"/>
        </w:tabs>
        <w:ind w:left="2664" w:hanging="360"/>
      </w:pPr>
      <w:rPr>
        <w:rFonts w:ascii="Courier New" w:hAnsi="Courier New" w:cs="Courier New" w:hint="default"/>
      </w:rPr>
    </w:lvl>
    <w:lvl w:ilvl="2">
      <w:start w:val="1"/>
      <w:numFmt w:val="bullet"/>
      <w:lvlText w:val=""/>
      <w:lvlJc w:val="left"/>
      <w:pPr>
        <w:tabs>
          <w:tab w:val="num" w:pos="3384"/>
        </w:tabs>
        <w:ind w:left="3384" w:hanging="360"/>
      </w:pPr>
      <w:rPr>
        <w:rFonts w:ascii="Wingdings" w:hAnsi="Wingdings" w:hint="default"/>
      </w:rPr>
    </w:lvl>
    <w:lvl w:ilvl="3">
      <w:start w:val="1"/>
      <w:numFmt w:val="bullet"/>
      <w:lvlText w:val=""/>
      <w:lvlJc w:val="left"/>
      <w:pPr>
        <w:tabs>
          <w:tab w:val="num" w:pos="4104"/>
        </w:tabs>
        <w:ind w:left="4104" w:hanging="360"/>
      </w:pPr>
      <w:rPr>
        <w:rFonts w:ascii="Symbol" w:hAnsi="Symbol" w:hint="default"/>
      </w:rPr>
    </w:lvl>
    <w:lvl w:ilvl="4">
      <w:start w:val="1"/>
      <w:numFmt w:val="bullet"/>
      <w:lvlText w:val="o"/>
      <w:lvlJc w:val="left"/>
      <w:pPr>
        <w:tabs>
          <w:tab w:val="num" w:pos="4824"/>
        </w:tabs>
        <w:ind w:left="4824" w:hanging="360"/>
      </w:pPr>
      <w:rPr>
        <w:rFonts w:ascii="Courier New" w:hAnsi="Courier New" w:cs="Courier New" w:hint="default"/>
      </w:rPr>
    </w:lvl>
    <w:lvl w:ilvl="5">
      <w:start w:val="1"/>
      <w:numFmt w:val="bullet"/>
      <w:lvlText w:val=""/>
      <w:lvlJc w:val="left"/>
      <w:pPr>
        <w:tabs>
          <w:tab w:val="num" w:pos="5544"/>
        </w:tabs>
        <w:ind w:left="5544" w:hanging="360"/>
      </w:pPr>
      <w:rPr>
        <w:rFonts w:ascii="Wingdings" w:hAnsi="Wingdings" w:hint="default"/>
      </w:rPr>
    </w:lvl>
    <w:lvl w:ilvl="6">
      <w:start w:val="1"/>
      <w:numFmt w:val="bullet"/>
      <w:lvlText w:val=""/>
      <w:lvlJc w:val="left"/>
      <w:pPr>
        <w:tabs>
          <w:tab w:val="num" w:pos="6264"/>
        </w:tabs>
        <w:ind w:left="6264" w:hanging="360"/>
      </w:pPr>
      <w:rPr>
        <w:rFonts w:ascii="Symbol" w:hAnsi="Symbol" w:hint="default"/>
      </w:rPr>
    </w:lvl>
    <w:lvl w:ilvl="7">
      <w:start w:val="1"/>
      <w:numFmt w:val="bullet"/>
      <w:lvlText w:val="o"/>
      <w:lvlJc w:val="left"/>
      <w:pPr>
        <w:tabs>
          <w:tab w:val="num" w:pos="6984"/>
        </w:tabs>
        <w:ind w:left="6984" w:hanging="360"/>
      </w:pPr>
      <w:rPr>
        <w:rFonts w:ascii="Courier New" w:hAnsi="Courier New" w:cs="Courier New" w:hint="default"/>
      </w:rPr>
    </w:lvl>
    <w:lvl w:ilvl="8">
      <w:start w:val="1"/>
      <w:numFmt w:val="bullet"/>
      <w:lvlText w:val=""/>
      <w:lvlJc w:val="left"/>
      <w:pPr>
        <w:tabs>
          <w:tab w:val="num" w:pos="7704"/>
        </w:tabs>
        <w:ind w:left="7704" w:hanging="360"/>
      </w:pPr>
      <w:rPr>
        <w:rFonts w:ascii="Wingdings" w:hAnsi="Wingdings" w:hint="default"/>
      </w:rPr>
    </w:lvl>
  </w:abstractNum>
  <w:abstractNum w:abstractNumId="7" w15:restartNumberingAfterBreak="0">
    <w:nsid w:val="28253E25"/>
    <w:multiLevelType w:val="multilevel"/>
    <w:tmpl w:val="6DEED5E6"/>
    <w:lvl w:ilvl="0">
      <w:start w:val="6"/>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2A4431A2"/>
    <w:multiLevelType w:val="hybridMultilevel"/>
    <w:tmpl w:val="A51C9BC4"/>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9" w15:restartNumberingAfterBreak="0">
    <w:nsid w:val="2AB17667"/>
    <w:multiLevelType w:val="multilevel"/>
    <w:tmpl w:val="000414B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D9F59C1"/>
    <w:multiLevelType w:val="multilevel"/>
    <w:tmpl w:val="C218C58C"/>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2EC91110"/>
    <w:multiLevelType w:val="hybridMultilevel"/>
    <w:tmpl w:val="8BEA14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ADF3F24"/>
    <w:multiLevelType w:val="multilevel"/>
    <w:tmpl w:val="390288FE"/>
    <w:lvl w:ilvl="0">
      <w:start w:val="1"/>
      <w:numFmt w:val="decimal"/>
      <w:lvlText w:val="Chapter %1"/>
      <w:lvlJc w:val="left"/>
      <w:pPr>
        <w:ind w:left="648"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5BF6A10"/>
    <w:multiLevelType w:val="multilevel"/>
    <w:tmpl w:val="BFC0D37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5590AE4"/>
    <w:multiLevelType w:val="hybridMultilevel"/>
    <w:tmpl w:val="BFC0D374"/>
    <w:lvl w:ilvl="0" w:tplc="A5BA6C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F93D8C"/>
    <w:multiLevelType w:val="multilevel"/>
    <w:tmpl w:val="BFC0D37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E611AC3"/>
    <w:multiLevelType w:val="multilevel"/>
    <w:tmpl w:val="34AE5B4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1"/>
  </w:num>
  <w:num w:numId="2">
    <w:abstractNumId w:val="14"/>
  </w:num>
  <w:num w:numId="3">
    <w:abstractNumId w:val="13"/>
  </w:num>
  <w:num w:numId="4">
    <w:abstractNumId w:val="1"/>
  </w:num>
  <w:num w:numId="5">
    <w:abstractNumId w:val="7"/>
  </w:num>
  <w:num w:numId="6">
    <w:abstractNumId w:val="0"/>
  </w:num>
  <w:num w:numId="7">
    <w:abstractNumId w:val="2"/>
  </w:num>
  <w:num w:numId="8">
    <w:abstractNumId w:val="10"/>
  </w:num>
  <w:num w:numId="9">
    <w:abstractNumId w:val="5"/>
  </w:num>
  <w:num w:numId="10">
    <w:abstractNumId w:val="3"/>
  </w:num>
  <w:num w:numId="11">
    <w:abstractNumId w:val="15"/>
  </w:num>
  <w:num w:numId="12">
    <w:abstractNumId w:val="4"/>
  </w:num>
  <w:num w:numId="13">
    <w:abstractNumId w:val="8"/>
  </w:num>
  <w:num w:numId="14">
    <w:abstractNumId w:val="6"/>
  </w:num>
  <w:num w:numId="15">
    <w:abstractNumId w:val="9"/>
  </w:num>
  <w:num w:numId="16">
    <w:abstractNumId w:val="1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254"/>
    <w:rsid w:val="000040C0"/>
    <w:rsid w:val="000074E6"/>
    <w:rsid w:val="00007695"/>
    <w:rsid w:val="00007E14"/>
    <w:rsid w:val="00020086"/>
    <w:rsid w:val="000227D2"/>
    <w:rsid w:val="0002678E"/>
    <w:rsid w:val="00027619"/>
    <w:rsid w:val="000337BA"/>
    <w:rsid w:val="000359D7"/>
    <w:rsid w:val="000375B3"/>
    <w:rsid w:val="00040C31"/>
    <w:rsid w:val="00041D6E"/>
    <w:rsid w:val="00044C92"/>
    <w:rsid w:val="00045C75"/>
    <w:rsid w:val="00051439"/>
    <w:rsid w:val="00053B92"/>
    <w:rsid w:val="00064275"/>
    <w:rsid w:val="00065E1C"/>
    <w:rsid w:val="000711F8"/>
    <w:rsid w:val="00080464"/>
    <w:rsid w:val="00080AAF"/>
    <w:rsid w:val="00080C72"/>
    <w:rsid w:val="000848F7"/>
    <w:rsid w:val="0008669D"/>
    <w:rsid w:val="000924A4"/>
    <w:rsid w:val="000957DC"/>
    <w:rsid w:val="000A36E4"/>
    <w:rsid w:val="000A501B"/>
    <w:rsid w:val="000A5E2B"/>
    <w:rsid w:val="000B0E68"/>
    <w:rsid w:val="000B4684"/>
    <w:rsid w:val="000C076C"/>
    <w:rsid w:val="000C0C3E"/>
    <w:rsid w:val="000C4A57"/>
    <w:rsid w:val="000C4ABD"/>
    <w:rsid w:val="000C79FD"/>
    <w:rsid w:val="000D3637"/>
    <w:rsid w:val="000D747C"/>
    <w:rsid w:val="000E007F"/>
    <w:rsid w:val="000E26DA"/>
    <w:rsid w:val="000E5190"/>
    <w:rsid w:val="000E6A55"/>
    <w:rsid w:val="000F0115"/>
    <w:rsid w:val="000F36CA"/>
    <w:rsid w:val="000F3CC0"/>
    <w:rsid w:val="000F4581"/>
    <w:rsid w:val="000F52AA"/>
    <w:rsid w:val="000F7819"/>
    <w:rsid w:val="001054EF"/>
    <w:rsid w:val="00105991"/>
    <w:rsid w:val="0010692B"/>
    <w:rsid w:val="00110B50"/>
    <w:rsid w:val="001135DA"/>
    <w:rsid w:val="001137BD"/>
    <w:rsid w:val="001165D2"/>
    <w:rsid w:val="00121514"/>
    <w:rsid w:val="0012306D"/>
    <w:rsid w:val="00126158"/>
    <w:rsid w:val="00132793"/>
    <w:rsid w:val="001328E0"/>
    <w:rsid w:val="001427E8"/>
    <w:rsid w:val="001442BC"/>
    <w:rsid w:val="00151D15"/>
    <w:rsid w:val="001841FA"/>
    <w:rsid w:val="00185AA6"/>
    <w:rsid w:val="001A135A"/>
    <w:rsid w:val="001C4E28"/>
    <w:rsid w:val="001D2796"/>
    <w:rsid w:val="001D54EF"/>
    <w:rsid w:val="001E56DB"/>
    <w:rsid w:val="001F3A08"/>
    <w:rsid w:val="00204ACF"/>
    <w:rsid w:val="0020655E"/>
    <w:rsid w:val="0021258B"/>
    <w:rsid w:val="00214BAA"/>
    <w:rsid w:val="00217B0C"/>
    <w:rsid w:val="0022088C"/>
    <w:rsid w:val="002272A2"/>
    <w:rsid w:val="0023555F"/>
    <w:rsid w:val="00240334"/>
    <w:rsid w:val="00246E96"/>
    <w:rsid w:val="00252CF8"/>
    <w:rsid w:val="00261D6C"/>
    <w:rsid w:val="0026501E"/>
    <w:rsid w:val="002676FC"/>
    <w:rsid w:val="00275048"/>
    <w:rsid w:val="00275984"/>
    <w:rsid w:val="00280411"/>
    <w:rsid w:val="00285395"/>
    <w:rsid w:val="00287BEA"/>
    <w:rsid w:val="00295005"/>
    <w:rsid w:val="002974B6"/>
    <w:rsid w:val="002A1FF2"/>
    <w:rsid w:val="002A4F2F"/>
    <w:rsid w:val="002A5C10"/>
    <w:rsid w:val="002C505F"/>
    <w:rsid w:val="002C5606"/>
    <w:rsid w:val="002C5824"/>
    <w:rsid w:val="002D1D09"/>
    <w:rsid w:val="002D5AAB"/>
    <w:rsid w:val="002D736F"/>
    <w:rsid w:val="002E3278"/>
    <w:rsid w:val="002E503E"/>
    <w:rsid w:val="002F122E"/>
    <w:rsid w:val="0030236D"/>
    <w:rsid w:val="003049D7"/>
    <w:rsid w:val="00326D14"/>
    <w:rsid w:val="0033014C"/>
    <w:rsid w:val="003324FD"/>
    <w:rsid w:val="00334027"/>
    <w:rsid w:val="003403DE"/>
    <w:rsid w:val="0034259B"/>
    <w:rsid w:val="00346B01"/>
    <w:rsid w:val="003562C6"/>
    <w:rsid w:val="00361DDE"/>
    <w:rsid w:val="00367A00"/>
    <w:rsid w:val="00370710"/>
    <w:rsid w:val="00370DE9"/>
    <w:rsid w:val="00374F55"/>
    <w:rsid w:val="00375988"/>
    <w:rsid w:val="00382B6D"/>
    <w:rsid w:val="003A0B71"/>
    <w:rsid w:val="003A51F1"/>
    <w:rsid w:val="003A799D"/>
    <w:rsid w:val="003A7EAF"/>
    <w:rsid w:val="003B3FE4"/>
    <w:rsid w:val="003D0C05"/>
    <w:rsid w:val="003D0E1F"/>
    <w:rsid w:val="003D1094"/>
    <w:rsid w:val="003D496A"/>
    <w:rsid w:val="003D5737"/>
    <w:rsid w:val="003E2436"/>
    <w:rsid w:val="003E4FBF"/>
    <w:rsid w:val="003E5747"/>
    <w:rsid w:val="003F1EFA"/>
    <w:rsid w:val="00405DD8"/>
    <w:rsid w:val="004075EF"/>
    <w:rsid w:val="00410F24"/>
    <w:rsid w:val="00421FA7"/>
    <w:rsid w:val="004238D1"/>
    <w:rsid w:val="004244BE"/>
    <w:rsid w:val="00435330"/>
    <w:rsid w:val="00444BD8"/>
    <w:rsid w:val="00447DF8"/>
    <w:rsid w:val="00451B4B"/>
    <w:rsid w:val="00456EB5"/>
    <w:rsid w:val="00470B46"/>
    <w:rsid w:val="004720AA"/>
    <w:rsid w:val="00497F16"/>
    <w:rsid w:val="004A12CE"/>
    <w:rsid w:val="004A2116"/>
    <w:rsid w:val="004A5209"/>
    <w:rsid w:val="004B6159"/>
    <w:rsid w:val="004B7757"/>
    <w:rsid w:val="004B790D"/>
    <w:rsid w:val="004E55CE"/>
    <w:rsid w:val="004F1CC8"/>
    <w:rsid w:val="004F3E04"/>
    <w:rsid w:val="004F4EF6"/>
    <w:rsid w:val="004F6019"/>
    <w:rsid w:val="00502EAB"/>
    <w:rsid w:val="0051245D"/>
    <w:rsid w:val="005210FF"/>
    <w:rsid w:val="00521287"/>
    <w:rsid w:val="00522CBE"/>
    <w:rsid w:val="005266F1"/>
    <w:rsid w:val="00533815"/>
    <w:rsid w:val="00534FE8"/>
    <w:rsid w:val="005378C0"/>
    <w:rsid w:val="005433F3"/>
    <w:rsid w:val="005444F6"/>
    <w:rsid w:val="005454AA"/>
    <w:rsid w:val="00545D37"/>
    <w:rsid w:val="00553F0F"/>
    <w:rsid w:val="00555CDC"/>
    <w:rsid w:val="0057121C"/>
    <w:rsid w:val="005722E6"/>
    <w:rsid w:val="00575639"/>
    <w:rsid w:val="00576E72"/>
    <w:rsid w:val="00580B7C"/>
    <w:rsid w:val="0058295B"/>
    <w:rsid w:val="0058431A"/>
    <w:rsid w:val="00586310"/>
    <w:rsid w:val="00586A21"/>
    <w:rsid w:val="005920DE"/>
    <w:rsid w:val="005953CC"/>
    <w:rsid w:val="005A36A8"/>
    <w:rsid w:val="005A66A1"/>
    <w:rsid w:val="005B0927"/>
    <w:rsid w:val="005B21E6"/>
    <w:rsid w:val="005B7CDD"/>
    <w:rsid w:val="005C0629"/>
    <w:rsid w:val="005C075B"/>
    <w:rsid w:val="005C0D02"/>
    <w:rsid w:val="005C1A20"/>
    <w:rsid w:val="005C2219"/>
    <w:rsid w:val="005C4F01"/>
    <w:rsid w:val="005D2F44"/>
    <w:rsid w:val="005D5580"/>
    <w:rsid w:val="005E1DCE"/>
    <w:rsid w:val="005E4F2A"/>
    <w:rsid w:val="005F315C"/>
    <w:rsid w:val="005F50E2"/>
    <w:rsid w:val="00604844"/>
    <w:rsid w:val="006072F0"/>
    <w:rsid w:val="00612423"/>
    <w:rsid w:val="00612917"/>
    <w:rsid w:val="00613C5B"/>
    <w:rsid w:val="006155DE"/>
    <w:rsid w:val="00617E0F"/>
    <w:rsid w:val="00625244"/>
    <w:rsid w:val="00630E26"/>
    <w:rsid w:val="00633F92"/>
    <w:rsid w:val="006437B2"/>
    <w:rsid w:val="00645BE1"/>
    <w:rsid w:val="00654D49"/>
    <w:rsid w:val="00655985"/>
    <w:rsid w:val="00655A5B"/>
    <w:rsid w:val="00665F98"/>
    <w:rsid w:val="00670882"/>
    <w:rsid w:val="00676673"/>
    <w:rsid w:val="00676BFB"/>
    <w:rsid w:val="00681319"/>
    <w:rsid w:val="00687957"/>
    <w:rsid w:val="00690005"/>
    <w:rsid w:val="00691E01"/>
    <w:rsid w:val="00693B57"/>
    <w:rsid w:val="00697A50"/>
    <w:rsid w:val="006A1DF1"/>
    <w:rsid w:val="006A76F9"/>
    <w:rsid w:val="006B2EFE"/>
    <w:rsid w:val="006C1977"/>
    <w:rsid w:val="006D1266"/>
    <w:rsid w:val="006D5BD1"/>
    <w:rsid w:val="006D65FC"/>
    <w:rsid w:val="006D67E7"/>
    <w:rsid w:val="006E4941"/>
    <w:rsid w:val="006E4D86"/>
    <w:rsid w:val="006F2824"/>
    <w:rsid w:val="006F632B"/>
    <w:rsid w:val="006F6C63"/>
    <w:rsid w:val="006F7C02"/>
    <w:rsid w:val="00705957"/>
    <w:rsid w:val="00710E7F"/>
    <w:rsid w:val="00711467"/>
    <w:rsid w:val="00711D4F"/>
    <w:rsid w:val="007129B9"/>
    <w:rsid w:val="00713EB0"/>
    <w:rsid w:val="00717731"/>
    <w:rsid w:val="007177F2"/>
    <w:rsid w:val="00722054"/>
    <w:rsid w:val="00726029"/>
    <w:rsid w:val="007324AD"/>
    <w:rsid w:val="00740F8C"/>
    <w:rsid w:val="00742EE5"/>
    <w:rsid w:val="00750765"/>
    <w:rsid w:val="0075244E"/>
    <w:rsid w:val="00752582"/>
    <w:rsid w:val="007606D1"/>
    <w:rsid w:val="00760E2E"/>
    <w:rsid w:val="007666F0"/>
    <w:rsid w:val="007668BB"/>
    <w:rsid w:val="00766DCB"/>
    <w:rsid w:val="0077146C"/>
    <w:rsid w:val="007807B2"/>
    <w:rsid w:val="0078252A"/>
    <w:rsid w:val="00783505"/>
    <w:rsid w:val="00786DC6"/>
    <w:rsid w:val="00794FF8"/>
    <w:rsid w:val="007B0427"/>
    <w:rsid w:val="007B11AC"/>
    <w:rsid w:val="007B5982"/>
    <w:rsid w:val="007C2D28"/>
    <w:rsid w:val="007D5845"/>
    <w:rsid w:val="007E2497"/>
    <w:rsid w:val="007E653C"/>
    <w:rsid w:val="007E7214"/>
    <w:rsid w:val="007E7C14"/>
    <w:rsid w:val="007F5222"/>
    <w:rsid w:val="007F7938"/>
    <w:rsid w:val="0080550A"/>
    <w:rsid w:val="0080651B"/>
    <w:rsid w:val="00817946"/>
    <w:rsid w:val="00825CF2"/>
    <w:rsid w:val="00826794"/>
    <w:rsid w:val="00826F79"/>
    <w:rsid w:val="0082711B"/>
    <w:rsid w:val="00834D04"/>
    <w:rsid w:val="008360FC"/>
    <w:rsid w:val="008407CA"/>
    <w:rsid w:val="00840F14"/>
    <w:rsid w:val="00842251"/>
    <w:rsid w:val="00843505"/>
    <w:rsid w:val="008437B7"/>
    <w:rsid w:val="00845FD7"/>
    <w:rsid w:val="00853BB6"/>
    <w:rsid w:val="00854895"/>
    <w:rsid w:val="008577D6"/>
    <w:rsid w:val="008603E8"/>
    <w:rsid w:val="00865563"/>
    <w:rsid w:val="00865ABE"/>
    <w:rsid w:val="00870A40"/>
    <w:rsid w:val="008711D0"/>
    <w:rsid w:val="008737B5"/>
    <w:rsid w:val="0087398F"/>
    <w:rsid w:val="008766B2"/>
    <w:rsid w:val="00885F80"/>
    <w:rsid w:val="008923C9"/>
    <w:rsid w:val="00893199"/>
    <w:rsid w:val="00896D45"/>
    <w:rsid w:val="008A04C4"/>
    <w:rsid w:val="008A30CB"/>
    <w:rsid w:val="008A67B0"/>
    <w:rsid w:val="008D400A"/>
    <w:rsid w:val="008D49C0"/>
    <w:rsid w:val="008D54FD"/>
    <w:rsid w:val="008D6D5C"/>
    <w:rsid w:val="008E430A"/>
    <w:rsid w:val="008E4EFE"/>
    <w:rsid w:val="008F5C65"/>
    <w:rsid w:val="008F5CC2"/>
    <w:rsid w:val="008F6A5B"/>
    <w:rsid w:val="00900AC4"/>
    <w:rsid w:val="00901801"/>
    <w:rsid w:val="00902F1F"/>
    <w:rsid w:val="009047B8"/>
    <w:rsid w:val="00910568"/>
    <w:rsid w:val="00910F81"/>
    <w:rsid w:val="009121D3"/>
    <w:rsid w:val="00912A4A"/>
    <w:rsid w:val="0092507B"/>
    <w:rsid w:val="00926C27"/>
    <w:rsid w:val="00926C29"/>
    <w:rsid w:val="00926DD5"/>
    <w:rsid w:val="009274F9"/>
    <w:rsid w:val="0093091B"/>
    <w:rsid w:val="00933646"/>
    <w:rsid w:val="009349C4"/>
    <w:rsid w:val="00934A7D"/>
    <w:rsid w:val="00936289"/>
    <w:rsid w:val="009371AB"/>
    <w:rsid w:val="0094371D"/>
    <w:rsid w:val="00944FFE"/>
    <w:rsid w:val="00945E1B"/>
    <w:rsid w:val="0095341E"/>
    <w:rsid w:val="00955C13"/>
    <w:rsid w:val="00966376"/>
    <w:rsid w:val="00966DB8"/>
    <w:rsid w:val="009674D0"/>
    <w:rsid w:val="0097057A"/>
    <w:rsid w:val="00976B2C"/>
    <w:rsid w:val="009779D3"/>
    <w:rsid w:val="009837C5"/>
    <w:rsid w:val="00993F83"/>
    <w:rsid w:val="009A1896"/>
    <w:rsid w:val="009A2258"/>
    <w:rsid w:val="009C3371"/>
    <w:rsid w:val="009C5ACD"/>
    <w:rsid w:val="009D0CE4"/>
    <w:rsid w:val="009D25CC"/>
    <w:rsid w:val="009D3294"/>
    <w:rsid w:val="009D5746"/>
    <w:rsid w:val="009D6C15"/>
    <w:rsid w:val="009E48FF"/>
    <w:rsid w:val="009F6054"/>
    <w:rsid w:val="009F6967"/>
    <w:rsid w:val="009F7684"/>
    <w:rsid w:val="00A0528A"/>
    <w:rsid w:val="00A10529"/>
    <w:rsid w:val="00A11630"/>
    <w:rsid w:val="00A12016"/>
    <w:rsid w:val="00A13C64"/>
    <w:rsid w:val="00A16511"/>
    <w:rsid w:val="00A2161D"/>
    <w:rsid w:val="00A25EB6"/>
    <w:rsid w:val="00A462C8"/>
    <w:rsid w:val="00A53EAA"/>
    <w:rsid w:val="00A543D0"/>
    <w:rsid w:val="00A55024"/>
    <w:rsid w:val="00A6310F"/>
    <w:rsid w:val="00A72FD9"/>
    <w:rsid w:val="00A7694C"/>
    <w:rsid w:val="00A82BCD"/>
    <w:rsid w:val="00A84060"/>
    <w:rsid w:val="00A86D41"/>
    <w:rsid w:val="00AA51BC"/>
    <w:rsid w:val="00AB6BF1"/>
    <w:rsid w:val="00AC04C3"/>
    <w:rsid w:val="00AC07FD"/>
    <w:rsid w:val="00AC19D3"/>
    <w:rsid w:val="00AC3476"/>
    <w:rsid w:val="00AC4690"/>
    <w:rsid w:val="00AC781C"/>
    <w:rsid w:val="00AD613A"/>
    <w:rsid w:val="00AE0277"/>
    <w:rsid w:val="00AE0368"/>
    <w:rsid w:val="00AE0572"/>
    <w:rsid w:val="00AE345E"/>
    <w:rsid w:val="00AF4F18"/>
    <w:rsid w:val="00B0350D"/>
    <w:rsid w:val="00B039EC"/>
    <w:rsid w:val="00B05556"/>
    <w:rsid w:val="00B057AE"/>
    <w:rsid w:val="00B0638C"/>
    <w:rsid w:val="00B07BE7"/>
    <w:rsid w:val="00B1494F"/>
    <w:rsid w:val="00B17566"/>
    <w:rsid w:val="00B2448B"/>
    <w:rsid w:val="00B24F55"/>
    <w:rsid w:val="00B25B0E"/>
    <w:rsid w:val="00B37FD7"/>
    <w:rsid w:val="00B440A0"/>
    <w:rsid w:val="00B44392"/>
    <w:rsid w:val="00B562B6"/>
    <w:rsid w:val="00B62034"/>
    <w:rsid w:val="00B6239E"/>
    <w:rsid w:val="00B70CF2"/>
    <w:rsid w:val="00B739BC"/>
    <w:rsid w:val="00B773D8"/>
    <w:rsid w:val="00B83C78"/>
    <w:rsid w:val="00B90E4D"/>
    <w:rsid w:val="00B91ACC"/>
    <w:rsid w:val="00B94254"/>
    <w:rsid w:val="00B94693"/>
    <w:rsid w:val="00B9614F"/>
    <w:rsid w:val="00B96EC4"/>
    <w:rsid w:val="00BA340B"/>
    <w:rsid w:val="00BB1B38"/>
    <w:rsid w:val="00BB295A"/>
    <w:rsid w:val="00BB564B"/>
    <w:rsid w:val="00BB71A4"/>
    <w:rsid w:val="00BB7354"/>
    <w:rsid w:val="00BC6A9C"/>
    <w:rsid w:val="00BD2F49"/>
    <w:rsid w:val="00BE1A32"/>
    <w:rsid w:val="00BE3ED0"/>
    <w:rsid w:val="00BE4115"/>
    <w:rsid w:val="00BE4772"/>
    <w:rsid w:val="00BE7618"/>
    <w:rsid w:val="00C10366"/>
    <w:rsid w:val="00C113D7"/>
    <w:rsid w:val="00C1717D"/>
    <w:rsid w:val="00C35AD2"/>
    <w:rsid w:val="00C3782C"/>
    <w:rsid w:val="00C64265"/>
    <w:rsid w:val="00C72F33"/>
    <w:rsid w:val="00C74B09"/>
    <w:rsid w:val="00C763FF"/>
    <w:rsid w:val="00C81E25"/>
    <w:rsid w:val="00C82D0B"/>
    <w:rsid w:val="00C87ABE"/>
    <w:rsid w:val="00C9371B"/>
    <w:rsid w:val="00C94356"/>
    <w:rsid w:val="00C95610"/>
    <w:rsid w:val="00CA0B1B"/>
    <w:rsid w:val="00CA1F3B"/>
    <w:rsid w:val="00CA2975"/>
    <w:rsid w:val="00CA3D3F"/>
    <w:rsid w:val="00CB3AF2"/>
    <w:rsid w:val="00CB3E20"/>
    <w:rsid w:val="00CC1694"/>
    <w:rsid w:val="00CC3C01"/>
    <w:rsid w:val="00CC4D6E"/>
    <w:rsid w:val="00CC5C6A"/>
    <w:rsid w:val="00CD09DD"/>
    <w:rsid w:val="00CE005F"/>
    <w:rsid w:val="00CE1D77"/>
    <w:rsid w:val="00CE2823"/>
    <w:rsid w:val="00CE3E23"/>
    <w:rsid w:val="00CE4D59"/>
    <w:rsid w:val="00CE5DB3"/>
    <w:rsid w:val="00CE71A3"/>
    <w:rsid w:val="00CE7E52"/>
    <w:rsid w:val="00D00713"/>
    <w:rsid w:val="00D01B74"/>
    <w:rsid w:val="00D02826"/>
    <w:rsid w:val="00D072EA"/>
    <w:rsid w:val="00D105F5"/>
    <w:rsid w:val="00D106E0"/>
    <w:rsid w:val="00D140F6"/>
    <w:rsid w:val="00D1784C"/>
    <w:rsid w:val="00D21CC7"/>
    <w:rsid w:val="00D23E39"/>
    <w:rsid w:val="00D2540E"/>
    <w:rsid w:val="00D26698"/>
    <w:rsid w:val="00D3601C"/>
    <w:rsid w:val="00D37698"/>
    <w:rsid w:val="00D4237E"/>
    <w:rsid w:val="00D435D5"/>
    <w:rsid w:val="00D437C5"/>
    <w:rsid w:val="00D460BD"/>
    <w:rsid w:val="00D46FDE"/>
    <w:rsid w:val="00D5153E"/>
    <w:rsid w:val="00D55F4F"/>
    <w:rsid w:val="00D56BE6"/>
    <w:rsid w:val="00D67DB8"/>
    <w:rsid w:val="00D75628"/>
    <w:rsid w:val="00D91C7D"/>
    <w:rsid w:val="00D94BFA"/>
    <w:rsid w:val="00D974AA"/>
    <w:rsid w:val="00DA120C"/>
    <w:rsid w:val="00DB133F"/>
    <w:rsid w:val="00DB29C3"/>
    <w:rsid w:val="00DC2881"/>
    <w:rsid w:val="00DD0E10"/>
    <w:rsid w:val="00DD1927"/>
    <w:rsid w:val="00DD5A7A"/>
    <w:rsid w:val="00DF6C9E"/>
    <w:rsid w:val="00DF740F"/>
    <w:rsid w:val="00E03787"/>
    <w:rsid w:val="00E05B29"/>
    <w:rsid w:val="00E14738"/>
    <w:rsid w:val="00E2243D"/>
    <w:rsid w:val="00E36CDF"/>
    <w:rsid w:val="00E4352E"/>
    <w:rsid w:val="00E437E2"/>
    <w:rsid w:val="00E47B22"/>
    <w:rsid w:val="00E50F50"/>
    <w:rsid w:val="00E54B5C"/>
    <w:rsid w:val="00E55114"/>
    <w:rsid w:val="00E56B06"/>
    <w:rsid w:val="00E60FC0"/>
    <w:rsid w:val="00E707A9"/>
    <w:rsid w:val="00E714B6"/>
    <w:rsid w:val="00E74FF5"/>
    <w:rsid w:val="00E764F9"/>
    <w:rsid w:val="00E770AB"/>
    <w:rsid w:val="00E84890"/>
    <w:rsid w:val="00E9653B"/>
    <w:rsid w:val="00EB3A58"/>
    <w:rsid w:val="00EC1AE5"/>
    <w:rsid w:val="00EC2016"/>
    <w:rsid w:val="00ED43AF"/>
    <w:rsid w:val="00ED7E9C"/>
    <w:rsid w:val="00EF1D46"/>
    <w:rsid w:val="00F02285"/>
    <w:rsid w:val="00F036B0"/>
    <w:rsid w:val="00F043E2"/>
    <w:rsid w:val="00F0451D"/>
    <w:rsid w:val="00F0572C"/>
    <w:rsid w:val="00F062DC"/>
    <w:rsid w:val="00F07E8E"/>
    <w:rsid w:val="00F11119"/>
    <w:rsid w:val="00F121D3"/>
    <w:rsid w:val="00F12E8C"/>
    <w:rsid w:val="00F15C0D"/>
    <w:rsid w:val="00F202A7"/>
    <w:rsid w:val="00F32625"/>
    <w:rsid w:val="00F35668"/>
    <w:rsid w:val="00F36A69"/>
    <w:rsid w:val="00F378BA"/>
    <w:rsid w:val="00F4035F"/>
    <w:rsid w:val="00F53A77"/>
    <w:rsid w:val="00F53C34"/>
    <w:rsid w:val="00F548DC"/>
    <w:rsid w:val="00F56758"/>
    <w:rsid w:val="00F568CD"/>
    <w:rsid w:val="00F579D3"/>
    <w:rsid w:val="00F61148"/>
    <w:rsid w:val="00F63975"/>
    <w:rsid w:val="00F65BDE"/>
    <w:rsid w:val="00F6644E"/>
    <w:rsid w:val="00F67BEA"/>
    <w:rsid w:val="00F7126C"/>
    <w:rsid w:val="00F7193A"/>
    <w:rsid w:val="00F83188"/>
    <w:rsid w:val="00F850FB"/>
    <w:rsid w:val="00F8510E"/>
    <w:rsid w:val="00F9021B"/>
    <w:rsid w:val="00F96938"/>
    <w:rsid w:val="00F9730B"/>
    <w:rsid w:val="00FA1633"/>
    <w:rsid w:val="00FA4581"/>
    <w:rsid w:val="00FA570A"/>
    <w:rsid w:val="00FB3430"/>
    <w:rsid w:val="00FB6BC1"/>
    <w:rsid w:val="00FC017F"/>
    <w:rsid w:val="00FC2B07"/>
    <w:rsid w:val="00FC2DD4"/>
    <w:rsid w:val="00FC5896"/>
    <w:rsid w:val="00FD1B16"/>
    <w:rsid w:val="00FD6FDC"/>
    <w:rsid w:val="00FE0BBE"/>
    <w:rsid w:val="00FE2E79"/>
    <w:rsid w:val="00FE5B1D"/>
    <w:rsid w:val="00FE67CE"/>
    <w:rsid w:val="00FE7750"/>
    <w:rsid w:val="00FF00A0"/>
    <w:rsid w:val="00FF0CBA"/>
    <w:rsid w:val="00FF38B0"/>
    <w:rsid w:val="00FF6399"/>
    <w:rsid w:val="00FF6F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3EBCA30"/>
  <w15:docId w15:val="{EBEF29EB-6CD3-49BD-90F7-511DC11AD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4254"/>
    <w:pPr>
      <w:tabs>
        <w:tab w:val="left" w:pos="720"/>
      </w:tabs>
      <w:suppressAutoHyphens/>
      <w:spacing w:line="480" w:lineRule="auto"/>
      <w:ind w:firstLine="720"/>
    </w:pPr>
    <w:rPr>
      <w:sz w:val="22"/>
      <w:szCs w:val="24"/>
      <w:lang w:eastAsia="en-US"/>
    </w:rPr>
  </w:style>
  <w:style w:type="paragraph" w:styleId="Heading1">
    <w:name w:val="heading 1"/>
    <w:basedOn w:val="Normal"/>
    <w:next w:val="Normal"/>
    <w:qFormat/>
    <w:rsid w:val="00B94254"/>
    <w:pPr>
      <w:keepNext/>
      <w:keepLines/>
      <w:widowControl w:val="0"/>
      <w:spacing w:before="720" w:after="480" w:line="240" w:lineRule="auto"/>
      <w:ind w:firstLine="0"/>
      <w:jc w:val="center"/>
      <w:outlineLvl w:val="0"/>
    </w:pPr>
    <w:rPr>
      <w:b/>
      <w:bCs/>
      <w:sz w:val="26"/>
      <w:szCs w:val="32"/>
    </w:rPr>
  </w:style>
  <w:style w:type="paragraph" w:styleId="Heading2">
    <w:name w:val="heading 2"/>
    <w:basedOn w:val="Normal"/>
    <w:next w:val="Normal"/>
    <w:qFormat/>
    <w:rsid w:val="00B94254"/>
    <w:pPr>
      <w:keepNext/>
      <w:keepLines/>
      <w:widowControl w:val="0"/>
      <w:spacing w:before="720" w:after="480" w:line="240" w:lineRule="auto"/>
      <w:ind w:firstLine="0"/>
      <w:jc w:val="center"/>
      <w:outlineLvl w:val="1"/>
    </w:pPr>
    <w:rPr>
      <w:b/>
      <w:bCs/>
      <w:iCs/>
      <w:szCs w:val="28"/>
    </w:rPr>
  </w:style>
  <w:style w:type="paragraph" w:styleId="Heading3">
    <w:name w:val="heading 3"/>
    <w:basedOn w:val="Normal"/>
    <w:next w:val="Normal"/>
    <w:qFormat/>
    <w:rsid w:val="00B94254"/>
    <w:pPr>
      <w:keepNext/>
      <w:keepLines/>
      <w:widowControl w:val="0"/>
      <w:spacing w:before="720" w:after="480" w:line="240" w:lineRule="auto"/>
      <w:ind w:firstLine="0"/>
      <w:outlineLvl w:val="2"/>
    </w:pPr>
    <w:rPr>
      <w:b/>
      <w:bCs/>
      <w:szCs w:val="26"/>
    </w:rPr>
  </w:style>
  <w:style w:type="paragraph" w:styleId="Heading4">
    <w:name w:val="heading 4"/>
    <w:basedOn w:val="Normal"/>
    <w:next w:val="Normal"/>
    <w:qFormat/>
    <w:rsid w:val="00B94254"/>
    <w:pPr>
      <w:keepNext/>
      <w:keepLines/>
      <w:widowControl w:val="0"/>
      <w:spacing w:before="720" w:after="480" w:line="240" w:lineRule="auto"/>
      <w:ind w:firstLine="0"/>
      <w:outlineLvl w:val="3"/>
    </w:pPr>
    <w:rPr>
      <w:b/>
      <w:bCs/>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Single">
    <w:name w:val="NormalSingle"/>
    <w:basedOn w:val="Normal"/>
    <w:rsid w:val="00B94254"/>
    <w:pPr>
      <w:spacing w:line="240" w:lineRule="auto"/>
      <w:ind w:firstLine="0"/>
    </w:pPr>
  </w:style>
  <w:style w:type="character" w:customStyle="1" w:styleId="FigureReference">
    <w:name w:val="FigureReference"/>
    <w:basedOn w:val="DefaultParagraphFont"/>
    <w:rsid w:val="00B94254"/>
    <w:rPr>
      <w:rFonts w:ascii="Times New Roman" w:hAnsi="Times New Roman" w:cs="Times New Roman"/>
      <w:b/>
      <w:color w:val="FF0000"/>
      <w:sz w:val="22"/>
    </w:rPr>
  </w:style>
  <w:style w:type="paragraph" w:styleId="Footer">
    <w:name w:val="footer"/>
    <w:basedOn w:val="Normal"/>
    <w:rsid w:val="00B94254"/>
    <w:pPr>
      <w:tabs>
        <w:tab w:val="center" w:pos="4320"/>
        <w:tab w:val="right" w:pos="8640"/>
      </w:tabs>
      <w:spacing w:line="240" w:lineRule="auto"/>
      <w:ind w:firstLine="0"/>
    </w:pPr>
  </w:style>
  <w:style w:type="paragraph" w:styleId="Header">
    <w:name w:val="header"/>
    <w:basedOn w:val="Normal"/>
    <w:rsid w:val="00B94254"/>
    <w:pPr>
      <w:tabs>
        <w:tab w:val="center" w:pos="4320"/>
        <w:tab w:val="right" w:pos="8640"/>
      </w:tabs>
      <w:spacing w:line="240" w:lineRule="auto"/>
      <w:ind w:firstLine="0"/>
    </w:pPr>
  </w:style>
  <w:style w:type="character" w:styleId="PageNumber">
    <w:name w:val="page number"/>
    <w:basedOn w:val="DefaultParagraphFont"/>
    <w:rsid w:val="00B94254"/>
    <w:rPr>
      <w:rFonts w:ascii="Times New Roman" w:hAnsi="Times New Roman" w:cs="Times New Roman"/>
      <w:sz w:val="22"/>
    </w:rPr>
  </w:style>
  <w:style w:type="paragraph" w:styleId="TableofFigures">
    <w:name w:val="table of figures"/>
    <w:basedOn w:val="Normal"/>
    <w:next w:val="Normal"/>
    <w:uiPriority w:val="99"/>
    <w:rsid w:val="00B94254"/>
    <w:pPr>
      <w:tabs>
        <w:tab w:val="clear" w:pos="720"/>
        <w:tab w:val="left" w:leader="dot" w:pos="8064"/>
        <w:tab w:val="right" w:pos="8640"/>
      </w:tabs>
      <w:spacing w:before="240" w:line="240" w:lineRule="auto"/>
      <w:ind w:left="432" w:right="720" w:hanging="432"/>
    </w:pPr>
  </w:style>
  <w:style w:type="character" w:customStyle="1" w:styleId="TableReference">
    <w:name w:val="TableReference"/>
    <w:basedOn w:val="DefaultParagraphFont"/>
    <w:rsid w:val="00B94254"/>
    <w:rPr>
      <w:rFonts w:ascii="Times New Roman" w:hAnsi="Times New Roman" w:cs="Times New Roman"/>
      <w:b/>
      <w:color w:val="FF0000"/>
      <w:sz w:val="22"/>
    </w:rPr>
  </w:style>
  <w:style w:type="paragraph" w:customStyle="1" w:styleId="ThesisSignature">
    <w:name w:val="Thesis Signature"/>
    <w:basedOn w:val="Normal"/>
    <w:rsid w:val="00B94254"/>
    <w:pPr>
      <w:tabs>
        <w:tab w:val="clear" w:pos="720"/>
      </w:tabs>
      <w:spacing w:line="240" w:lineRule="auto"/>
      <w:ind w:left="432" w:hanging="432"/>
    </w:pPr>
  </w:style>
  <w:style w:type="paragraph" w:customStyle="1" w:styleId="ThesisTitlePage">
    <w:name w:val="Thesis Title Page"/>
    <w:basedOn w:val="Normal"/>
    <w:rsid w:val="00B94254"/>
    <w:pPr>
      <w:spacing w:line="240" w:lineRule="auto"/>
      <w:ind w:firstLine="0"/>
      <w:jc w:val="center"/>
    </w:pPr>
  </w:style>
  <w:style w:type="paragraph" w:styleId="TOC1">
    <w:name w:val="toc 1"/>
    <w:basedOn w:val="Normal"/>
    <w:next w:val="Normal"/>
    <w:uiPriority w:val="39"/>
    <w:rsid w:val="00B94254"/>
    <w:pPr>
      <w:tabs>
        <w:tab w:val="clear" w:pos="720"/>
      </w:tabs>
      <w:spacing w:before="120"/>
    </w:pPr>
    <w:rPr>
      <w:rFonts w:asciiTheme="minorHAnsi" w:hAnsiTheme="minorHAnsi"/>
      <w:b/>
      <w:sz w:val="24"/>
    </w:rPr>
  </w:style>
  <w:style w:type="paragraph" w:styleId="TOC2">
    <w:name w:val="toc 2"/>
    <w:basedOn w:val="Normal"/>
    <w:next w:val="Normal"/>
    <w:uiPriority w:val="39"/>
    <w:rsid w:val="00B94254"/>
    <w:pPr>
      <w:tabs>
        <w:tab w:val="clear" w:pos="720"/>
      </w:tabs>
      <w:ind w:left="220"/>
    </w:pPr>
    <w:rPr>
      <w:rFonts w:asciiTheme="minorHAnsi" w:hAnsiTheme="minorHAnsi"/>
      <w:b/>
      <w:szCs w:val="22"/>
    </w:rPr>
  </w:style>
  <w:style w:type="paragraph" w:styleId="TOC3">
    <w:name w:val="toc 3"/>
    <w:basedOn w:val="Normal"/>
    <w:next w:val="Normal"/>
    <w:uiPriority w:val="39"/>
    <w:rsid w:val="00B94254"/>
    <w:pPr>
      <w:tabs>
        <w:tab w:val="clear" w:pos="720"/>
      </w:tabs>
      <w:ind w:left="440"/>
    </w:pPr>
    <w:rPr>
      <w:rFonts w:asciiTheme="minorHAnsi" w:hAnsiTheme="minorHAnsi"/>
      <w:szCs w:val="22"/>
    </w:rPr>
  </w:style>
  <w:style w:type="paragraph" w:styleId="TOC4">
    <w:name w:val="toc 4"/>
    <w:basedOn w:val="Normal"/>
    <w:next w:val="Normal"/>
    <w:semiHidden/>
    <w:rsid w:val="00B94254"/>
    <w:pPr>
      <w:tabs>
        <w:tab w:val="clear" w:pos="720"/>
      </w:tabs>
      <w:ind w:left="660"/>
    </w:pPr>
    <w:rPr>
      <w:rFonts w:asciiTheme="minorHAnsi" w:hAnsiTheme="minorHAnsi"/>
      <w:sz w:val="20"/>
      <w:szCs w:val="20"/>
    </w:rPr>
  </w:style>
  <w:style w:type="paragraph" w:customStyle="1" w:styleId="LongQuote">
    <w:name w:val="LongQuote"/>
    <w:basedOn w:val="Normal"/>
    <w:next w:val="Normal"/>
    <w:rsid w:val="00B94254"/>
    <w:pPr>
      <w:spacing w:after="240" w:line="240" w:lineRule="auto"/>
      <w:ind w:left="720" w:right="720" w:firstLine="0"/>
    </w:pPr>
  </w:style>
  <w:style w:type="paragraph" w:customStyle="1" w:styleId="FigureCaption">
    <w:name w:val="FigureCaption"/>
    <w:basedOn w:val="Normal"/>
    <w:next w:val="NormalSingle"/>
    <w:rsid w:val="00B94254"/>
    <w:pPr>
      <w:spacing w:before="120" w:after="120" w:line="240" w:lineRule="auto"/>
      <w:ind w:firstLine="0"/>
      <w:jc w:val="both"/>
    </w:pPr>
  </w:style>
  <w:style w:type="paragraph" w:customStyle="1" w:styleId="TableCaption">
    <w:name w:val="TableCaption"/>
    <w:basedOn w:val="Normal"/>
    <w:next w:val="NormalSingle"/>
    <w:rsid w:val="00B94254"/>
    <w:pPr>
      <w:spacing w:before="120" w:after="120" w:line="240" w:lineRule="auto"/>
      <w:ind w:firstLine="0"/>
      <w:jc w:val="both"/>
    </w:pPr>
  </w:style>
  <w:style w:type="paragraph" w:customStyle="1" w:styleId="TitleInTocYes">
    <w:name w:val="TitleInTocYes"/>
    <w:basedOn w:val="Normal"/>
    <w:next w:val="Normal"/>
    <w:rsid w:val="00B94254"/>
    <w:pPr>
      <w:keepNext/>
      <w:keepLines/>
      <w:widowControl w:val="0"/>
      <w:spacing w:after="480" w:line="240" w:lineRule="auto"/>
      <w:ind w:firstLine="0"/>
      <w:jc w:val="center"/>
    </w:pPr>
    <w:rPr>
      <w:b/>
    </w:rPr>
  </w:style>
  <w:style w:type="paragraph" w:customStyle="1" w:styleId="TitleInTocNo">
    <w:name w:val="TitleInTocNo"/>
    <w:basedOn w:val="TitleInTocYes"/>
    <w:next w:val="Normal"/>
    <w:rsid w:val="00B94254"/>
  </w:style>
  <w:style w:type="paragraph" w:customStyle="1" w:styleId="ThesisSignaturePage">
    <w:name w:val="Thesis Signature Page"/>
    <w:basedOn w:val="Normal"/>
    <w:rsid w:val="00B94254"/>
    <w:pPr>
      <w:spacing w:line="240" w:lineRule="auto"/>
      <w:ind w:firstLine="0"/>
    </w:pPr>
  </w:style>
  <w:style w:type="character" w:customStyle="1" w:styleId="FigureNumber">
    <w:name w:val="FigureNumber"/>
    <w:basedOn w:val="DefaultParagraphFont"/>
    <w:rsid w:val="00B94254"/>
    <w:rPr>
      <w:rFonts w:ascii="Times New Roman" w:hAnsi="Times New Roman" w:cs="Times New Roman"/>
      <w:b/>
      <w:color w:val="0000FF"/>
      <w:sz w:val="22"/>
    </w:rPr>
  </w:style>
  <w:style w:type="character" w:customStyle="1" w:styleId="TableNumber">
    <w:name w:val="TableNumber"/>
    <w:basedOn w:val="DefaultParagraphFont"/>
    <w:rsid w:val="00B94254"/>
    <w:rPr>
      <w:rFonts w:ascii="Times New Roman" w:hAnsi="Times New Roman" w:cs="Times New Roman"/>
      <w:b/>
      <w:color w:val="0000FF"/>
      <w:sz w:val="22"/>
    </w:rPr>
  </w:style>
  <w:style w:type="paragraph" w:customStyle="1" w:styleId="NormalUndented">
    <w:name w:val="NormalUndented"/>
    <w:basedOn w:val="Normal"/>
    <w:next w:val="Normal"/>
    <w:rsid w:val="00B94254"/>
    <w:pPr>
      <w:ind w:firstLine="0"/>
    </w:pPr>
  </w:style>
  <w:style w:type="character" w:customStyle="1" w:styleId="HeadingNumber">
    <w:name w:val="HeadingNumber"/>
    <w:basedOn w:val="DefaultParagraphFont"/>
    <w:rsid w:val="00B94254"/>
    <w:rPr>
      <w:rFonts w:ascii="Times New Roman" w:hAnsi="Times New Roman" w:cs="Times New Roman"/>
      <w:b w:val="0"/>
      <w:color w:val="0000FF"/>
      <w:sz w:val="22"/>
    </w:rPr>
  </w:style>
  <w:style w:type="table" w:customStyle="1" w:styleId="TablePsuThesi">
    <w:name w:val="TablePsuThesi"/>
    <w:basedOn w:val="TableNormal"/>
    <w:rsid w:val="00B94254"/>
    <w:tblPr>
      <w:tblCellMar>
        <w:left w:w="115" w:type="dxa"/>
        <w:right w:w="115" w:type="dxa"/>
      </w:tblCellMar>
    </w:tblPr>
  </w:style>
  <w:style w:type="paragraph" w:customStyle="1" w:styleId="SignaturePage">
    <w:name w:val="Signature Page"/>
    <w:basedOn w:val="Normal"/>
    <w:rsid w:val="00B94254"/>
    <w:pPr>
      <w:spacing w:line="240" w:lineRule="auto"/>
    </w:pPr>
  </w:style>
  <w:style w:type="paragraph" w:styleId="TOC5">
    <w:name w:val="toc 5"/>
    <w:basedOn w:val="Normal"/>
    <w:next w:val="Normal"/>
    <w:autoRedefine/>
    <w:rsid w:val="00F062DC"/>
    <w:pPr>
      <w:tabs>
        <w:tab w:val="clear" w:pos="720"/>
      </w:tabs>
      <w:ind w:left="880"/>
    </w:pPr>
    <w:rPr>
      <w:rFonts w:asciiTheme="minorHAnsi" w:hAnsiTheme="minorHAnsi"/>
      <w:sz w:val="20"/>
      <w:szCs w:val="20"/>
    </w:rPr>
  </w:style>
  <w:style w:type="paragraph" w:styleId="TOC6">
    <w:name w:val="toc 6"/>
    <w:basedOn w:val="Normal"/>
    <w:next w:val="Normal"/>
    <w:autoRedefine/>
    <w:rsid w:val="00F062DC"/>
    <w:pPr>
      <w:tabs>
        <w:tab w:val="clear" w:pos="720"/>
      </w:tabs>
      <w:ind w:left="1100"/>
    </w:pPr>
    <w:rPr>
      <w:rFonts w:asciiTheme="minorHAnsi" w:hAnsiTheme="minorHAnsi"/>
      <w:sz w:val="20"/>
      <w:szCs w:val="20"/>
    </w:rPr>
  </w:style>
  <w:style w:type="paragraph" w:styleId="TOC7">
    <w:name w:val="toc 7"/>
    <w:basedOn w:val="Normal"/>
    <w:next w:val="Normal"/>
    <w:autoRedefine/>
    <w:rsid w:val="00F062DC"/>
    <w:pPr>
      <w:tabs>
        <w:tab w:val="clear" w:pos="720"/>
      </w:tabs>
      <w:ind w:left="1320"/>
    </w:pPr>
    <w:rPr>
      <w:rFonts w:asciiTheme="minorHAnsi" w:hAnsiTheme="minorHAnsi"/>
      <w:sz w:val="20"/>
      <w:szCs w:val="20"/>
    </w:rPr>
  </w:style>
  <w:style w:type="paragraph" w:styleId="TOC8">
    <w:name w:val="toc 8"/>
    <w:basedOn w:val="Normal"/>
    <w:next w:val="Normal"/>
    <w:autoRedefine/>
    <w:rsid w:val="00F062DC"/>
    <w:pPr>
      <w:tabs>
        <w:tab w:val="clear" w:pos="720"/>
      </w:tabs>
      <w:ind w:left="1540"/>
    </w:pPr>
    <w:rPr>
      <w:rFonts w:asciiTheme="minorHAnsi" w:hAnsiTheme="minorHAnsi"/>
      <w:sz w:val="20"/>
      <w:szCs w:val="20"/>
    </w:rPr>
  </w:style>
  <w:style w:type="paragraph" w:styleId="TOC9">
    <w:name w:val="toc 9"/>
    <w:basedOn w:val="Normal"/>
    <w:next w:val="Normal"/>
    <w:autoRedefine/>
    <w:rsid w:val="00F062DC"/>
    <w:pPr>
      <w:tabs>
        <w:tab w:val="clear" w:pos="720"/>
      </w:tabs>
      <w:ind w:left="1760"/>
    </w:pPr>
    <w:rPr>
      <w:rFonts w:asciiTheme="minorHAnsi" w:hAnsiTheme="minorHAnsi"/>
      <w:sz w:val="20"/>
      <w:szCs w:val="20"/>
    </w:rPr>
  </w:style>
  <w:style w:type="paragraph" w:customStyle="1" w:styleId="Heading5">
    <w:name w:val="Heading5"/>
    <w:basedOn w:val="Heading1"/>
    <w:qFormat/>
    <w:rsid w:val="001841FA"/>
  </w:style>
  <w:style w:type="paragraph" w:customStyle="1" w:styleId="Heading6">
    <w:name w:val="Heading6"/>
    <w:basedOn w:val="Heading1"/>
    <w:qFormat/>
    <w:rsid w:val="001841FA"/>
  </w:style>
  <w:style w:type="paragraph" w:styleId="FootnoteText">
    <w:name w:val="footnote text"/>
    <w:basedOn w:val="Normal"/>
    <w:link w:val="FootnoteTextChar"/>
    <w:rsid w:val="00B44392"/>
    <w:pPr>
      <w:spacing w:line="240" w:lineRule="auto"/>
    </w:pPr>
    <w:rPr>
      <w:sz w:val="24"/>
    </w:rPr>
  </w:style>
  <w:style w:type="character" w:customStyle="1" w:styleId="FootnoteTextChar">
    <w:name w:val="Footnote Text Char"/>
    <w:basedOn w:val="DefaultParagraphFont"/>
    <w:link w:val="FootnoteText"/>
    <w:rsid w:val="00B44392"/>
    <w:rPr>
      <w:sz w:val="24"/>
      <w:szCs w:val="24"/>
      <w:lang w:eastAsia="en-US"/>
    </w:rPr>
  </w:style>
  <w:style w:type="character" w:styleId="FootnoteReference">
    <w:name w:val="footnote reference"/>
    <w:basedOn w:val="DefaultParagraphFont"/>
    <w:rsid w:val="00B44392"/>
    <w:rPr>
      <w:vertAlign w:val="superscript"/>
    </w:rPr>
  </w:style>
  <w:style w:type="paragraph" w:styleId="EndnoteText">
    <w:name w:val="endnote text"/>
    <w:basedOn w:val="Normal"/>
    <w:link w:val="EndnoteTextChar"/>
    <w:rsid w:val="00B44392"/>
    <w:pPr>
      <w:spacing w:line="240" w:lineRule="auto"/>
    </w:pPr>
    <w:rPr>
      <w:sz w:val="24"/>
    </w:rPr>
  </w:style>
  <w:style w:type="character" w:customStyle="1" w:styleId="EndnoteTextChar">
    <w:name w:val="Endnote Text Char"/>
    <w:basedOn w:val="DefaultParagraphFont"/>
    <w:link w:val="EndnoteText"/>
    <w:rsid w:val="00B44392"/>
    <w:rPr>
      <w:sz w:val="24"/>
      <w:szCs w:val="24"/>
      <w:lang w:eastAsia="en-US"/>
    </w:rPr>
  </w:style>
  <w:style w:type="character" w:styleId="EndnoteReference">
    <w:name w:val="endnote reference"/>
    <w:basedOn w:val="DefaultParagraphFont"/>
    <w:rsid w:val="00B44392"/>
    <w:rPr>
      <w:vertAlign w:val="superscript"/>
    </w:rPr>
  </w:style>
  <w:style w:type="character" w:styleId="CommentReference">
    <w:name w:val="annotation reference"/>
    <w:uiPriority w:val="99"/>
    <w:unhideWhenUsed/>
    <w:rsid w:val="00044C92"/>
    <w:rPr>
      <w:sz w:val="16"/>
      <w:szCs w:val="16"/>
    </w:rPr>
  </w:style>
  <w:style w:type="paragraph" w:styleId="CommentText">
    <w:name w:val="annotation text"/>
    <w:basedOn w:val="Normal"/>
    <w:link w:val="CommentTextChar"/>
    <w:uiPriority w:val="99"/>
    <w:unhideWhenUsed/>
    <w:rsid w:val="00044C92"/>
    <w:pPr>
      <w:tabs>
        <w:tab w:val="clear" w:pos="720"/>
      </w:tabs>
      <w:suppressAutoHyphens w:val="0"/>
      <w:spacing w:line="240" w:lineRule="auto"/>
      <w:ind w:firstLine="0"/>
    </w:pPr>
    <w:rPr>
      <w:rFonts w:ascii="Cambria" w:eastAsia="MS Mincho" w:hAnsi="Cambria"/>
      <w:sz w:val="20"/>
      <w:szCs w:val="20"/>
    </w:rPr>
  </w:style>
  <w:style w:type="character" w:customStyle="1" w:styleId="CommentTextChar">
    <w:name w:val="Comment Text Char"/>
    <w:basedOn w:val="DefaultParagraphFont"/>
    <w:link w:val="CommentText"/>
    <w:uiPriority w:val="99"/>
    <w:rsid w:val="00044C92"/>
    <w:rPr>
      <w:rFonts w:ascii="Cambria" w:eastAsia="MS Mincho" w:hAnsi="Cambria"/>
      <w:lang w:eastAsia="en-US"/>
    </w:rPr>
  </w:style>
  <w:style w:type="paragraph" w:styleId="CommentSubject">
    <w:name w:val="annotation subject"/>
    <w:basedOn w:val="CommentText"/>
    <w:next w:val="CommentText"/>
    <w:link w:val="CommentSubjectChar"/>
    <w:uiPriority w:val="99"/>
    <w:unhideWhenUsed/>
    <w:rsid w:val="00044C92"/>
    <w:rPr>
      <w:b/>
      <w:bCs/>
    </w:rPr>
  </w:style>
  <w:style w:type="character" w:customStyle="1" w:styleId="CommentSubjectChar">
    <w:name w:val="Comment Subject Char"/>
    <w:basedOn w:val="CommentTextChar"/>
    <w:link w:val="CommentSubject"/>
    <w:uiPriority w:val="99"/>
    <w:rsid w:val="00044C92"/>
    <w:rPr>
      <w:rFonts w:ascii="Cambria" w:eastAsia="MS Mincho" w:hAnsi="Cambria"/>
      <w:b/>
      <w:bCs/>
      <w:lang w:eastAsia="en-US"/>
    </w:rPr>
  </w:style>
  <w:style w:type="paragraph" w:styleId="BalloonText">
    <w:name w:val="Balloon Text"/>
    <w:basedOn w:val="Normal"/>
    <w:link w:val="BalloonTextChar"/>
    <w:uiPriority w:val="99"/>
    <w:unhideWhenUsed/>
    <w:rsid w:val="00044C92"/>
    <w:pPr>
      <w:tabs>
        <w:tab w:val="clear" w:pos="720"/>
      </w:tabs>
      <w:suppressAutoHyphens w:val="0"/>
      <w:spacing w:line="240" w:lineRule="auto"/>
      <w:ind w:firstLine="0"/>
    </w:pPr>
    <w:rPr>
      <w:rFonts w:ascii="Segoe UI" w:eastAsia="MS Mincho" w:hAnsi="Segoe UI" w:cs="Segoe UI"/>
      <w:sz w:val="18"/>
      <w:szCs w:val="18"/>
    </w:rPr>
  </w:style>
  <w:style w:type="character" w:customStyle="1" w:styleId="BalloonTextChar">
    <w:name w:val="Balloon Text Char"/>
    <w:basedOn w:val="DefaultParagraphFont"/>
    <w:link w:val="BalloonText"/>
    <w:uiPriority w:val="99"/>
    <w:rsid w:val="00044C92"/>
    <w:rPr>
      <w:rFonts w:ascii="Segoe UI" w:eastAsia="MS Mincho" w:hAnsi="Segoe UI" w:cs="Segoe UI"/>
      <w:sz w:val="18"/>
      <w:szCs w:val="18"/>
      <w:lang w:eastAsia="en-US"/>
    </w:rPr>
  </w:style>
  <w:style w:type="paragraph" w:customStyle="1" w:styleId="ColorfulList-Accent11">
    <w:name w:val="Colorful List - Accent 11"/>
    <w:basedOn w:val="Normal"/>
    <w:uiPriority w:val="34"/>
    <w:qFormat/>
    <w:rsid w:val="00044C92"/>
    <w:pPr>
      <w:tabs>
        <w:tab w:val="clear" w:pos="720"/>
      </w:tabs>
      <w:suppressAutoHyphens w:val="0"/>
      <w:spacing w:line="240" w:lineRule="auto"/>
      <w:ind w:left="720" w:firstLine="0"/>
      <w:contextualSpacing/>
    </w:pPr>
    <w:rPr>
      <w:rFonts w:ascii="Cambria" w:eastAsia="MS Mincho" w:hAnsi="Cambria"/>
      <w:sz w:val="24"/>
    </w:rPr>
  </w:style>
  <w:style w:type="paragraph" w:styleId="Caption">
    <w:name w:val="caption"/>
    <w:basedOn w:val="Normal"/>
    <w:next w:val="Normal"/>
    <w:uiPriority w:val="35"/>
    <w:qFormat/>
    <w:rsid w:val="004B6159"/>
    <w:pPr>
      <w:tabs>
        <w:tab w:val="clear" w:pos="720"/>
      </w:tabs>
      <w:suppressAutoHyphens w:val="0"/>
      <w:spacing w:before="120" w:after="120" w:line="240" w:lineRule="auto"/>
      <w:ind w:firstLine="0"/>
    </w:pPr>
    <w:rPr>
      <w:rFonts w:eastAsia="MS Mincho"/>
      <w:bCs/>
      <w:color w:val="4F81BD"/>
      <w:szCs w:val="18"/>
    </w:rPr>
  </w:style>
  <w:style w:type="table" w:styleId="TableGrid">
    <w:name w:val="Table Grid"/>
    <w:basedOn w:val="TableNormal"/>
    <w:uiPriority w:val="59"/>
    <w:rsid w:val="00044C92"/>
    <w:rPr>
      <w:rFonts w:ascii="Cambria" w:eastAsia="MS Mincho" w:hAnsi="Cambr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rsid w:val="00044C92"/>
  </w:style>
  <w:style w:type="character" w:styleId="Hyperlink">
    <w:name w:val="Hyperlink"/>
    <w:basedOn w:val="DefaultParagraphFont"/>
    <w:uiPriority w:val="99"/>
    <w:unhideWhenUsed/>
    <w:rsid w:val="00044C92"/>
    <w:rPr>
      <w:color w:val="0000FF" w:themeColor="hyperlink"/>
      <w:u w:val="single"/>
    </w:rPr>
  </w:style>
  <w:style w:type="paragraph" w:styleId="Revision">
    <w:name w:val="Revision"/>
    <w:hidden/>
    <w:uiPriority w:val="99"/>
    <w:semiHidden/>
    <w:rsid w:val="00044C92"/>
    <w:rPr>
      <w:rFonts w:ascii="Cambria" w:eastAsia="MS Mincho" w:hAnsi="Cambria"/>
      <w:sz w:val="24"/>
      <w:szCs w:val="24"/>
      <w:lang w:eastAsia="en-US"/>
    </w:rPr>
  </w:style>
  <w:style w:type="paragraph" w:styleId="ListParagraph">
    <w:name w:val="List Paragraph"/>
    <w:basedOn w:val="Normal"/>
    <w:uiPriority w:val="34"/>
    <w:qFormat/>
    <w:rsid w:val="00044C92"/>
    <w:pPr>
      <w:tabs>
        <w:tab w:val="clear" w:pos="720"/>
      </w:tabs>
      <w:suppressAutoHyphens w:val="0"/>
      <w:spacing w:line="240" w:lineRule="auto"/>
      <w:ind w:left="720" w:firstLine="0"/>
      <w:contextualSpacing/>
    </w:pPr>
    <w:rPr>
      <w:rFonts w:ascii="Cambria" w:eastAsia="MS Mincho" w:hAnsi="Cambria"/>
      <w:sz w:val="24"/>
    </w:rPr>
  </w:style>
  <w:style w:type="paragraph" w:styleId="TOCHeading">
    <w:name w:val="TOC Heading"/>
    <w:basedOn w:val="Heading1"/>
    <w:next w:val="Normal"/>
    <w:uiPriority w:val="39"/>
    <w:unhideWhenUsed/>
    <w:qFormat/>
    <w:rsid w:val="00F9730B"/>
    <w:pPr>
      <w:widowControl/>
      <w:tabs>
        <w:tab w:val="clear" w:pos="720"/>
      </w:tabs>
      <w:suppressAutoHyphens w:val="0"/>
      <w:spacing w:before="480" w:after="0" w:line="276" w:lineRule="auto"/>
      <w:jc w:val="left"/>
      <w:outlineLvl w:val="9"/>
    </w:pPr>
    <w:rPr>
      <w:rFonts w:asciiTheme="majorHAnsi" w:eastAsiaTheme="majorEastAsia" w:hAnsiTheme="majorHAnsi" w:cstheme="majorBidi"/>
      <w:color w:val="365F91" w:themeColor="accent1" w:themeShade="BF"/>
      <w:sz w:val="28"/>
      <w:szCs w:val="28"/>
    </w:rPr>
  </w:style>
  <w:style w:type="character" w:customStyle="1" w:styleId="apple-converted-space">
    <w:name w:val="apple-converted-space"/>
    <w:basedOn w:val="DefaultParagraphFont"/>
    <w:rsid w:val="002D1D09"/>
  </w:style>
  <w:style w:type="character" w:customStyle="1" w:styleId="il">
    <w:name w:val="il"/>
    <w:basedOn w:val="DefaultParagraphFont"/>
    <w:rsid w:val="002D1D09"/>
  </w:style>
  <w:style w:type="paragraph" w:styleId="HTMLPreformatted">
    <w:name w:val="HTML Preformatted"/>
    <w:basedOn w:val="Normal"/>
    <w:link w:val="HTMLPreformattedChar"/>
    <w:rsid w:val="00E54B5C"/>
    <w:pPr>
      <w:spacing w:line="240" w:lineRule="auto"/>
    </w:pPr>
    <w:rPr>
      <w:rFonts w:ascii="Courier" w:hAnsi="Courier"/>
      <w:sz w:val="20"/>
      <w:szCs w:val="20"/>
    </w:rPr>
  </w:style>
  <w:style w:type="character" w:customStyle="1" w:styleId="HTMLPreformattedChar">
    <w:name w:val="HTML Preformatted Char"/>
    <w:basedOn w:val="DefaultParagraphFont"/>
    <w:link w:val="HTMLPreformatted"/>
    <w:rsid w:val="00E54B5C"/>
    <w:rPr>
      <w:rFonts w:ascii="Courier" w:hAnsi="Courier"/>
      <w:lang w:eastAsia="en-US"/>
    </w:rPr>
  </w:style>
  <w:style w:type="character" w:styleId="FollowedHyperlink">
    <w:name w:val="FollowedHyperlink"/>
    <w:basedOn w:val="DefaultParagraphFont"/>
    <w:rsid w:val="00A72FD9"/>
    <w:rPr>
      <w:color w:val="800080" w:themeColor="followedHyperlink"/>
      <w:u w:val="single"/>
    </w:rPr>
  </w:style>
  <w:style w:type="character" w:styleId="LineNumber">
    <w:name w:val="line number"/>
    <w:basedOn w:val="DefaultParagraphFont"/>
    <w:rsid w:val="00C87ABE"/>
  </w:style>
  <w:style w:type="paragraph" w:styleId="DocumentMap">
    <w:name w:val="Document Map"/>
    <w:basedOn w:val="Normal"/>
    <w:link w:val="DocumentMapChar"/>
    <w:semiHidden/>
    <w:unhideWhenUsed/>
    <w:rsid w:val="0057121C"/>
    <w:pPr>
      <w:spacing w:line="240" w:lineRule="auto"/>
    </w:pPr>
    <w:rPr>
      <w:rFonts w:ascii="Lucida Grande" w:hAnsi="Lucida Grande" w:cs="Lucida Grande"/>
      <w:sz w:val="24"/>
    </w:rPr>
  </w:style>
  <w:style w:type="character" w:customStyle="1" w:styleId="DocumentMapChar">
    <w:name w:val="Document Map Char"/>
    <w:basedOn w:val="DefaultParagraphFont"/>
    <w:link w:val="DocumentMap"/>
    <w:semiHidden/>
    <w:rsid w:val="0057121C"/>
    <w:rPr>
      <w:rFonts w:ascii="Lucida Grande" w:hAnsi="Lucida Grande" w:cs="Lucida Grande"/>
      <w:sz w:val="24"/>
      <w:szCs w:val="24"/>
      <w:lang w:eastAsia="en-US"/>
    </w:rPr>
  </w:style>
  <w:style w:type="character" w:styleId="PlaceholderText">
    <w:name w:val="Placeholder Text"/>
    <w:basedOn w:val="DefaultParagraphFont"/>
    <w:uiPriority w:val="99"/>
    <w:semiHidden/>
    <w:rsid w:val="0006427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90766">
      <w:bodyDiv w:val="1"/>
      <w:marLeft w:val="0"/>
      <w:marRight w:val="0"/>
      <w:marTop w:val="0"/>
      <w:marBottom w:val="0"/>
      <w:divBdr>
        <w:top w:val="none" w:sz="0" w:space="0" w:color="auto"/>
        <w:left w:val="none" w:sz="0" w:space="0" w:color="auto"/>
        <w:bottom w:val="none" w:sz="0" w:space="0" w:color="auto"/>
        <w:right w:val="none" w:sz="0" w:space="0" w:color="auto"/>
      </w:divBdr>
    </w:div>
    <w:div w:id="301622998">
      <w:bodyDiv w:val="1"/>
      <w:marLeft w:val="0"/>
      <w:marRight w:val="0"/>
      <w:marTop w:val="0"/>
      <w:marBottom w:val="0"/>
      <w:divBdr>
        <w:top w:val="none" w:sz="0" w:space="0" w:color="auto"/>
        <w:left w:val="none" w:sz="0" w:space="0" w:color="auto"/>
        <w:bottom w:val="none" w:sz="0" w:space="0" w:color="auto"/>
        <w:right w:val="none" w:sz="0" w:space="0" w:color="auto"/>
      </w:divBdr>
    </w:div>
    <w:div w:id="611787552">
      <w:bodyDiv w:val="1"/>
      <w:marLeft w:val="0"/>
      <w:marRight w:val="0"/>
      <w:marTop w:val="0"/>
      <w:marBottom w:val="0"/>
      <w:divBdr>
        <w:top w:val="none" w:sz="0" w:space="0" w:color="auto"/>
        <w:left w:val="none" w:sz="0" w:space="0" w:color="auto"/>
        <w:bottom w:val="none" w:sz="0" w:space="0" w:color="auto"/>
        <w:right w:val="none" w:sz="0" w:space="0" w:color="auto"/>
      </w:divBdr>
    </w:div>
    <w:div w:id="993871394">
      <w:bodyDiv w:val="1"/>
      <w:marLeft w:val="0"/>
      <w:marRight w:val="0"/>
      <w:marTop w:val="0"/>
      <w:marBottom w:val="0"/>
      <w:divBdr>
        <w:top w:val="none" w:sz="0" w:space="0" w:color="auto"/>
        <w:left w:val="none" w:sz="0" w:space="0" w:color="auto"/>
        <w:bottom w:val="none" w:sz="0" w:space="0" w:color="auto"/>
        <w:right w:val="none" w:sz="0" w:space="0" w:color="auto"/>
      </w:divBdr>
    </w:div>
    <w:div w:id="1333527079">
      <w:bodyDiv w:val="1"/>
      <w:marLeft w:val="0"/>
      <w:marRight w:val="0"/>
      <w:marTop w:val="0"/>
      <w:marBottom w:val="0"/>
      <w:divBdr>
        <w:top w:val="none" w:sz="0" w:space="0" w:color="auto"/>
        <w:left w:val="none" w:sz="0" w:space="0" w:color="auto"/>
        <w:bottom w:val="none" w:sz="0" w:space="0" w:color="auto"/>
        <w:right w:val="none" w:sz="0" w:space="0" w:color="auto"/>
      </w:divBdr>
    </w:div>
    <w:div w:id="1626883667">
      <w:bodyDiv w:val="1"/>
      <w:marLeft w:val="0"/>
      <w:marRight w:val="0"/>
      <w:marTop w:val="0"/>
      <w:marBottom w:val="0"/>
      <w:divBdr>
        <w:top w:val="none" w:sz="0" w:space="0" w:color="auto"/>
        <w:left w:val="none" w:sz="0" w:space="0" w:color="auto"/>
        <w:bottom w:val="none" w:sz="0" w:space="0" w:color="auto"/>
        <w:right w:val="none" w:sz="0" w:space="0" w:color="auto"/>
      </w:divBdr>
      <w:divsChild>
        <w:div w:id="1640263246">
          <w:marLeft w:val="0"/>
          <w:marRight w:val="0"/>
          <w:marTop w:val="0"/>
          <w:marBottom w:val="0"/>
          <w:divBdr>
            <w:top w:val="none" w:sz="0" w:space="0" w:color="auto"/>
            <w:left w:val="none" w:sz="0" w:space="0" w:color="auto"/>
            <w:bottom w:val="none" w:sz="0" w:space="0" w:color="auto"/>
            <w:right w:val="none" w:sz="0" w:space="0" w:color="auto"/>
          </w:divBdr>
          <w:divsChild>
            <w:div w:id="1056589988">
              <w:marLeft w:val="0"/>
              <w:marRight w:val="0"/>
              <w:marTop w:val="0"/>
              <w:marBottom w:val="0"/>
              <w:divBdr>
                <w:top w:val="none" w:sz="0" w:space="0" w:color="auto"/>
                <w:left w:val="none" w:sz="0" w:space="0" w:color="auto"/>
                <w:bottom w:val="none" w:sz="0" w:space="0" w:color="auto"/>
                <w:right w:val="none" w:sz="0" w:space="0" w:color="auto"/>
              </w:divBdr>
              <w:divsChild>
                <w:div w:id="52267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537543">
      <w:bodyDiv w:val="1"/>
      <w:marLeft w:val="0"/>
      <w:marRight w:val="0"/>
      <w:marTop w:val="0"/>
      <w:marBottom w:val="0"/>
      <w:divBdr>
        <w:top w:val="none" w:sz="0" w:space="0" w:color="auto"/>
        <w:left w:val="none" w:sz="0" w:space="0" w:color="auto"/>
        <w:bottom w:val="none" w:sz="0" w:space="0" w:color="auto"/>
        <w:right w:val="none" w:sz="0" w:space="0" w:color="auto"/>
      </w:divBdr>
    </w:div>
    <w:div w:id="1865899247">
      <w:bodyDiv w:val="1"/>
      <w:marLeft w:val="0"/>
      <w:marRight w:val="0"/>
      <w:marTop w:val="0"/>
      <w:marBottom w:val="0"/>
      <w:divBdr>
        <w:top w:val="none" w:sz="0" w:space="0" w:color="auto"/>
        <w:left w:val="none" w:sz="0" w:space="0" w:color="auto"/>
        <w:bottom w:val="none" w:sz="0" w:space="0" w:color="auto"/>
        <w:right w:val="none" w:sz="0" w:space="0" w:color="auto"/>
      </w:divBdr>
    </w:div>
    <w:div w:id="2050522381">
      <w:bodyDiv w:val="1"/>
      <w:marLeft w:val="0"/>
      <w:marRight w:val="0"/>
      <w:marTop w:val="0"/>
      <w:marBottom w:val="0"/>
      <w:divBdr>
        <w:top w:val="none" w:sz="0" w:space="0" w:color="auto"/>
        <w:left w:val="none" w:sz="0" w:space="0" w:color="auto"/>
        <w:bottom w:val="none" w:sz="0" w:space="0" w:color="auto"/>
        <w:right w:val="none" w:sz="0" w:space="0" w:color="auto"/>
      </w:divBdr>
    </w:div>
    <w:div w:id="2111509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wmf"/><Relationship Id="rId18" Type="http://schemas.openxmlformats.org/officeDocument/2006/relationships/footer" Target="footer1.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haupt@ucar.edu" TargetMode="External"/><Relationship Id="rId17" Type="http://schemas.openxmlformats.org/officeDocument/2006/relationships/header" Target="header2.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ccandle@ucar.edu" TargetMode="External"/><Relationship Id="rId24" Type="http://schemas.openxmlformats.org/officeDocument/2006/relationships/image" Target="media/image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laurahin@u.washington.edu" TargetMode="Externa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image" Target="media/image3.wmf"/><Relationship Id="rId19" Type="http://schemas.openxmlformats.org/officeDocument/2006/relationships/footer" Target="footer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mailto:g3y@psu.edu" TargetMode="External"/><Relationship Id="rId22" Type="http://schemas.openxmlformats.org/officeDocument/2006/relationships/hyperlink" Target="https://pythonhosted.org/neurolab/" TargetMode="External"/><Relationship Id="rId27" Type="http://schemas.openxmlformats.org/officeDocument/2006/relationships/image" Target="media/image9.png"/><Relationship Id="rId30"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74D33C-1D39-426D-81E0-D348F41DF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8923</Words>
  <Characters>50864</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The Pennsylvania State University</vt:lpstr>
    </vt:vector>
  </TitlesOfParts>
  <Company>psu</Company>
  <LinksUpToDate>false</LinksUpToDate>
  <CharactersWithSpaces>59668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Pennsylvania State University</dc:title>
  <dc:creator>s d</dc:creator>
  <cp:lastModifiedBy>haupt</cp:lastModifiedBy>
  <cp:revision>2</cp:revision>
  <cp:lastPrinted>2015-11-19T03:38:00Z</cp:lastPrinted>
  <dcterms:created xsi:type="dcterms:W3CDTF">2016-03-23T16:50:00Z</dcterms:created>
  <dcterms:modified xsi:type="dcterms:W3CDTF">2016-03-23T16:50:00Z</dcterms:modified>
</cp:coreProperties>
</file>